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E-1886/2018 vom 8. August 2018</w:t>
      </w:r>
    </w:p>
    <w:p>
      <w:r>
        <w:t>Bundesverwaltungsgericht, 2018-08-08, FR</w:t>
      </w:r>
    </w:p>
    <w:p>
      <w:r>
        <w:rPr>
          <w:b/>
        </w:rPr>
        <w:t xml:space="preserve">Quelle: </w:t>
      </w:r>
      <w:r>
        <w:t>https://mcp.opencaselaw.ch/entscheid/bvger_E-1886_2018</w:t>
      </w:r>
    </w:p>
    <w:p>
      <w:r>
        <w:t>FR: TAF E-1886/2018 du 8 août 2018</w:t>
      </w:r>
    </w:p>
    <w:p>
      <w:r>
        <w:t>IT: TAF E-1886/2018 del 8 agosto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la requérante cherche à se protéger (cf. art. 83 let. d ch. 1 LTF), exception non réalisée en l'espèce.</w:t>
      </w:r>
    </w:p>
    <w:p>
      <w:r>
        <w:rPr>
          <w:b/>
        </w:rPr>
        <w:t>E. 1.3</w:t>
      </w:r>
    </w:p>
    <w:p>
      <w:r>
        <w:t>La recourante a qualité pour recourir. Présenté dans la forme et dans le délai prescrits par la loi, le recours est recevable (cf. art. 48 al. 1 et 52 PA et art. 108 al. 1 LAsi).</w:t>
      </w:r>
    </w:p>
    <w:p>
      <w:r>
        <w:rPr>
          <w:b/>
        </w:rPr>
        <w:t>E. 2.1</w:t>
      </w:r>
    </w:p>
    <w:p>
      <w:r>
        <w:t>A teneur de l'art. 3 al. 1 et 2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(cf. ATAF 2007/31 consid. 5.2-5.6).</w:t>
      </w:r>
    </w:p>
    <w:p>
      <w:r>
        <w:rPr>
          <w:b/>
        </w:rPr>
        <w:t>E. 2.2</w:t>
      </w:r>
    </w:p>
    <w:p>
      <w:r>
        <w:t>Une persécution réfléchie est reconnue lorsque des proches d'une personne persécutée sont exposés à des représailles en vue d'exercer des pressions sur cette personne. Il y a lieu d'apprécier l'intensité du risque de persécution réfléchie en fonction des circonstances du cas d'espèce. Aussi,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 usuellement » appliqués ainsi que du comportement général des organes étatiques à l'égard de personnes ou groupes de personnes dont la situation est comparable à celle du requérant d'asile (cf. ATAF 2010/57 consid. 4.1.3 et réf. cit. ; cf. également arrêt du Tribunal E-4140/2014 du 13 octobre 2014 consid. 5.4).</w:t>
      </w:r>
    </w:p>
    <w:p>
      <w:r>
        <w:rPr>
          <w:b/>
        </w:rPr>
        <w:t>E. 2.3</w:t>
      </w:r>
    </w:p>
    <w:p>
      <w:r>
        <w:t>Il convient d'emblée de constater qu'en l'espèce, les mesures dont la recourante a été victime, principalement les interrogatoires réguliers au sujet de son père par des agents du CID à son domicile, ne la ciblaient pas personnellement. Même si parfois les préjudices subis se sont révélés sérieux, puisqu'elle a été victime de menaces de mort qu'elle pouvait s'attendre à voir être mises immédiatement à exécution, les autorités visaient en réalité à exercer sur son père une surveillance rapprochée et une constante pression sur l'ensemble de la famille. C'est toutefois à tort que le SEM a qualifié les contrôles des agents de routiniers. A la suite de la demande de protection de la famille, le SEM a autorisé celle-ci à entrer en Suisse, puis a reconnu la qualité de réfugié à B._______ et lui a octroyé l'asile, au sens de l'art. 3 LAsi. Il a ainsi admis les risques de persécution pesant sur ce dernier en cas de retour dans son pays. En d'autres termes, et le Tribunal peut se rallier à cette opinion, le père de la recourante était dans le collimateur des autorités et les pressions exercées sur l'ensemble de la famille, notamment par le biais d'actes d'intimidations, ne s'inscrivaient pas dans des activités toutes générales de routine, mais ciblaient les intéressés. Il y avait dès lors lieu d'examiner l'existence d'un risque de persécution réfléchie en cas de retour de l'intéressée dans son pays en raison des activités de son père et du départ de la famille du pays depuis 2015.</w:t>
      </w:r>
    </w:p>
    <w:p>
      <w:r>
        <w:rPr>
          <w:b/>
        </w:rPr>
        <w:t>E. 2.4</w:t>
      </w:r>
    </w:p>
    <w:p>
      <w:r>
        <w:t>Cela dit, dans son arrêt de référence E-1866/2015, du 15 juillet 2016, le Tribunal a procédé à une analyse actualisée de la situation des ressortissants sri-lankais qui retournent dans leur pays d'origine, en se basant notamment sur plusieurs rapports d'observateurs du terrain. Il est arrivé à la conclusion que, même après le changement de gouvernement en janvier 2016, une des préoccupations majeures des autorités sri-lankaises est demeurée d'étouffer toute résurgence du séparatisme tamoul. Aussi, toute personne susceptible d'être considérée comme représentant une menace à cet égard doit se voir reconnaître une crainte objectivement fondée de préjudices. Le Tribunal a défini un certain nombre d'éléments susceptibles de constituer des facteurs à risque dits forts, qui suffisent en général, à eux seuls, pour admettre l'existence d'une telle crainte de persécution future déterminante en matière d'asile. Entrent notamment dans cette catégorie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à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un tel facteur à risque faible. En l'occurrence, le père de la recourante a vécu dans la région du Vanni durant plusieurs années, dont les trois dernières de la guerre. Issu d'une famille semble-t-il connue pour son engagement, de génération en génération, en faveur de la cause tamoule, il aurait en réalité eu des activités pour les LTTE de 1990 à 2009. Accusé d'appartenir aux LTTE, il a été emprisonné de 1993 à 1995, et a été constamment surveillé et souvent maltraité depuis lors. Ayant quitté le pays, il doit certainement inspirer une forte méfiance aux autorités. L'intéressée, dont la vraisemblance des propos n'a pas été mise en cause, a été identifiée avant son départ comme étant membre de cette famille. Elle a été confrontée directement aux agents du CID, dont les méthodes d'investigations et d'intimidations sont documentées dans le rapport de l'OSAR joint au recours. Dans ces circonstances, un risque de subir de sérieux préjudices, au sens de l'art. 3 LAsi, ne peut manifestement plus être exclu en cas de retour au Sri Lanka.</w:t>
      </w:r>
    </w:p>
    <w:p>
      <w:r>
        <w:rPr>
          <w:b/>
        </w:rPr>
        <w:t>E. 2.5</w:t>
      </w:r>
    </w:p>
    <w:p>
      <w:r>
        <w:t>Il ressort de ce qui précède que la qualité de réfugié doit être reconnue à la recourante pour des raisons politiques et ethniques. Le dossier ne faisant par ailleurs pas ressortir de faits susceptibles d'entraîner l'application de l'art. 53 LAsi (indignité), l'asile doit lui être accordé, en application de l'art. 2 LAsi.</w:t>
      </w:r>
    </w:p>
    <w:p>
      <w:r>
        <w:rPr>
          <w:b/>
        </w:rPr>
        <w:t>E. 3</w:t>
      </w:r>
    </w:p>
    <w:p>
      <w:r>
        <w:t>Pour ces motifs, le recours est admis. La décision du SEM, du (...) 2018, doit être annulée. Le SEM est invité à reconnaître à la recourante la qualité de réfugié et à lui accorder l'asile.</w:t>
      </w:r>
    </w:p>
    <w:p>
      <w:r>
        <w:rPr>
          <w:b/>
        </w:rPr>
        <w:t>E. 4.1</w:t>
      </w:r>
    </w:p>
    <w:p>
      <w:r>
        <w:t>Compte tenu de l'issue de la procédure, il n'y a pas lieu de percevoir de frais (cf. art. 63 al. 2 PA).</w:t>
      </w:r>
    </w:p>
    <w:p>
      <w:r>
        <w:rPr>
          <w:b/>
        </w:rPr>
        <w:t>E. 4.2</w:t>
      </w:r>
    </w:p>
    <w:p>
      <w:r>
        <w:t>La recourante, qui obtient gain de cause, a droit à des dépens (cf. 7 al. 1 du règlement du 21 février 2008 concernant les frais, dépens et indemnités fixés par le Tribunal administratif fédéral [FITAF, RS 173.320.2] et 64 al. 1 PA).</w:t>
      </w:r>
    </w:p>
    <w:p>
      <w:r>
        <w:rPr>
          <w:b/>
        </w:rPr>
        <w:t>E. 4.3</w:t>
      </w:r>
    </w:p>
    <w:p>
      <w:r>
        <w:t>Ceux-ci sont fixés à 825 francs sur la base du décompte de prestations du mandataire de la recourante, du (...) 2018, et compte tenu également de son intervention ultérieure.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