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E-1885/2020 vom 2. März 2020</w:t>
      </w:r>
    </w:p>
    <w:p>
      <w:r>
        <w:t>Bundesverwaltungsgericht, 2020-03-02, DE</w:t>
      </w:r>
    </w:p>
    <w:p>
      <w:r>
        <w:rPr>
          <w:b/>
        </w:rPr>
        <w:t xml:space="preserve">Quelle: </w:t>
      </w:r>
      <w:r>
        <w:t>https://mcp.opencaselaw.ch/entscheid/bvger_E-1885_2020_d20200302</w:t>
      </w:r>
    </w:p>
    <w:p>
      <w:r>
        <w:t>FR: TAF E-1885/2020 du 2 mars 2020</w:t>
      </w:r>
    </w:p>
    <w:p>
      <w:r>
        <w:t>IT: TAF E-1885/2020 del 2 marzo 2020</w:t>
      </w:r>
    </w:p>
    <w:p>
      <w:pPr>
        <w:pStyle w:val="Heading2"/>
      </w:pPr>
      <w:r>
        <w:t>Regeste</w:t>
      </w:r>
    </w:p>
    <w:p>
      <w:r>
        <w:t>Asyl und Wegweisung | Asyl und Wegweisung; Verfügung des SEM vom 2. März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so auch vorliegend, endgültig (Art. 105 AsylG;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t>E-1885/2020 Seite 19</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Mit der Beschwerde wird in mehrfacher Hinsicht eine Verletzung des recht- lichen Gehörs gerügt. Namentlich wird dem SEM entgegengehalten, es habe die korrekte Aktenführungspflicht, das Recht auf Akteneinsicht, die korrekte und vollständige Feststellung des rechtserheblichen Sachverhal- tes und somit des Untersuchungsgrundsatzes sowie die behördliche Be- gründungspflicht in schwerwiegender und nicht durch das Beschwerdever- fahren heilbarer Weise verletzt. Diesbezüglich ist vorab festzuhalten, dass mit der Beschwerde die entsprechenden Teilgehalte des übergeordneten Anspruchs auf rechtliches Gehör in den Rügevorbringen teilweise nicht klar auseinandergehalten, sondern vermengt werden. Zudem wird auch die Ab- grenzung des Gehalts der formellen Rügen zur Frage der materiellen Wür- digung des erhobenen Sachverhalts teilweise verkannt. Diese formellen Rügen sind vorab zu prüfen, da sie, sollten sie sich als begründet erweisen, zu einer Kassation der angefochtenen Verfügung füh- ren könnten.</w:t>
      </w:r>
    </w:p>
    <w:p>
      <w:r>
        <w:rPr>
          <w:b/>
        </w:rPr>
        <w:t>E. 4.1</w:t>
      </w:r>
    </w:p>
    <w:p>
      <w:r>
        <w:t>Gemäss Art. 29 VwVG haben die Parteien Anspruch auf rechtliches Gehör. Das rechtliche Gehör dient einerseits der Sachaufklärung, ander- seits stellt es ein persönlichkeitsbezogenes Mitwirkungsrecht beim Erlass eines Entscheides dar, welcher in die Rechtsstellung des Einzelnen ein- greift. Dazu gehört insbesondere das Recht des Betroffenen, sich vor Er- lass eines solchen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w:t>
      </w:r>
    </w:p>
    <w:p>
      <w:r>
        <w:rPr>
          <w:b/>
        </w:rPr>
        <w:t>E. 4.2</w:t>
      </w:r>
    </w:p>
    <w:p>
      <w:r>
        <w:t>Mit dem Gehörsanspruch korreliert die Pflicht der Behörden, die Vor- bringen tatsächlich zu hören, ernsthaft zu prüfen und in ihrer Entscheidfin-</w:t>
      </w:r>
    </w:p>
    <w:p>
      <w:r>
        <w:t>E-1885/2020 Seite 20 dung angemessen zu berücksichtigen. Das gilt für alle form- und fristge- rechten Äusserungen, Eingaben und Anträge, die zur Klärung der konkre- ten Streitfrage geeignet und erforderlich erscheinen. Dazu gehört eine ord- nungsgemässe Aktenführung insoweit, als die form- und fristgerechten Äusserungen, Eingaben (hierbei namentlich auch Beweismittel) und An- träge vollständig Eingang in die Akten finden und in der Form nachgeführt werden, als sich daraus keine schwerwiegende Verletzung und somit eine Vereitelung der Gewährleistung und der Wahrnehmung des Anspruchs auf das rechtliche Gehör ergeben darf. Dabei ist der Schweregrad einer nicht ordnungsgemässen Aktenführung in jedem Einzelfall und in Berücksichti- gung der konkreten Gegebenheiten zu gewichten. Selbstredend vermag nicht jede nicht vorgenommene allenfalls wünschbar "bessere" Aktendar- stellung einen derart gewichtigen Mangel zu begründen, der zu einer schwerwiegenden Verletzung des rechtlichen Gehörs führen müsste.</w:t>
      </w:r>
    </w:p>
    <w:p>
      <w:r>
        <w:rPr>
          <w:b/>
        </w:rPr>
        <w:t>E. 4.3</w:t>
      </w:r>
    </w:p>
    <w:p>
      <w:r>
        <w:t>Mit der Beschwerde wird gerügt, das SEM habe bereits durch seine Aktenführung das rechtliche Gehör in derart schwerwiegender Weise ver- letzt, dass die angefochtene Verfügung aufgehoben werden müsse. Das Gericht kann dieser Sichtweise nur teilweise folgen, wie die nachfolgenden Erwägungen zeigen.</w:t>
      </w:r>
    </w:p>
    <w:p>
      <w:r>
        <w:rPr>
          <w:b/>
        </w:rPr>
        <w:t>E. 4.3.1</w:t>
      </w:r>
    </w:p>
    <w:p>
      <w:r>
        <w:t>Es wird geltend gemacht, die Bezeichnung der Akte A11/2 als „Akten- notiz" sei mangelhaft und das SEM hätte im Rahmen der Pflicht zur voll- ständigen und richten Aktenführung zwingend den „Betreff" der entspre- chenden Notiz erfassen müssen. Der Beschwerdeführerin ist zuzustim- men, dass ohne nähere Bezeichnung nicht ersichtlich ist, was Gegenstand dieser Notiz ist oder Anlass dazu war. In der Aktennotiz wird festgehalten (was aus Datenschutzgründen in der zu veröffentlichenden Version des Ur- teils nicht offenzulegen sein wird), (…). Dieser Umstand hätte der Be- schwerdeführerin zumindest zusammenfassend zur Kenntnis gebracht werden müssen, kommt der Akte vorliegend doch Beweischarakter zur. Da die Mitgliedschaft der Beschwerdeführerin bei der KDP-I jedoch vorliegend von keiner Seite je bestritten worden ist und die Offenlegung des Inhalts keinen weiteren Schriftenwechsel erfordert, kann dieser Mangel damit als geheilt betrachtet werden. Entgegen der angestellten Vermutung in der Beschwerde enthält die Akte A11/2 somit keine Unterlagen oder Informationen bezüglich einer (angeb- lichen) irakischen Staatsangehörigkeit der Beschwerdeführerin.</w:t>
      </w:r>
    </w:p>
    <w:p>
      <w:r>
        <w:t>E-1885/2020 Seite 21</w:t>
      </w:r>
    </w:p>
    <w:p>
      <w:r>
        <w:rPr>
          <w:b/>
        </w:rPr>
        <w:t>E. 4.3.2</w:t>
      </w:r>
    </w:p>
    <w:p>
      <w:r>
        <w:t>Im Weiteren ist entgegen der Rüge in der Beschwerde nicht ersicht- lich, inwiefern das SEM die Pflicht zur vollständigen und richtigen Akten- führung schwerwiegend verletzt haben soll, indem anlässlich der Anhörung die von der Beschwerdeführerin abgegebenen Dokumente und Unterlagen bis auf deren Anzahl von 40 Blättern durchnummeriert wurden und als Ak- tenpaket im "Plastikmäppchen" ins "Beweismittel-/Dokumentencouvert" A15 unter Nr. 7 aufgenommen wurden. Hierzu wurde der Beschwerdefüh- rerin im Rahmen der Anhörung ausdrücklich das rechtliche Gehör gewährt (A14/23 F11 und F12). In der Beschwerde wird denn auch ausgeführt, of- fenbar betreffe dieses „Bündel" diejenigen Dokumente, welche die Be- schwerdeführerin bei der Frage 11 der Akte A14 als Beweismittel in einem Plastikmäppchen abgegeben habe. Es verschliesst sich dem Gericht, was damit zu rügen beabsichtigt werden soll. Zudem ist anzumerken, dass der Beschwerdeführerin anlässlich der Anhörung Gelegenheit gegeben wurde, sich zu den von ihr eingereichten Unterlagen zu äussern und diese, soweit angezeigt, einzeln zu erläutern (vgl. A14/23 F4 bis F30). Auch wird aus dem "Beweismittel-/Dokumentencouvert" A15 hinreichend verständlich, welche als Beweismittel bezeichneten eingereichten Doku- mente in diesem Couvert als Akten aufgenommen worden sind.</w:t>
      </w:r>
    </w:p>
    <w:p>
      <w:r>
        <w:rPr>
          <w:b/>
        </w:rPr>
        <w:t>E. 4.3.3</w:t>
      </w:r>
    </w:p>
    <w:p>
      <w:r>
        <w:t>In der Beschwerde wird zudem moniert, der Beweismittelumschlag enthalte beispielsweise ein Beweismittel 5, welches mit „Bestätigung" be- zeichnet worden sei, und dasselbe gelte für das Beweismittel 6. Es sei of- fensichtlich, dass diese Bezeichnung schlicht mangelhaft sei. Das SEM müsste zwingend erfassen, um wessen Bestätigungen worüber es sich von wann handeln würde. Es dürfte jedoch der Beschwerdeführerin bezie- hungsweise ihrem Rechtsvertreter nicht verborgen geblieben sein, dass in der angefochtenen Verfügung die Beweismittel 5 und 6 mit BM5 und BM6 explizit benannt und hinreichend klar bezeichnet wurden (a.a.O. S. 3 unter Ziffer 4., vgl. auch A14/23 F7 und F8, wo die Bestätigungen zur Sprache kamen). Zudem wurden in der angefochtenen Verfügung unter derselben Ziffer 4. die wesentlichen von der Beschwerdeführerin eingereichten Doku- mente und Unterlagen einzeln namentlich aufgeführt. Der in der Be- schwerde vertretenen Ansicht, es sei offensichtlich, dass das SEM jedes einzelne Beweismittel im Plastikmäppchen separat hätte bezeichnen und erfassen müssen, kann unter dem Aspekt eines schwerwiegenden kassa- tionswürdigen Mangels nicht gefolgt werden.</w:t>
      </w:r>
    </w:p>
    <w:p>
      <w:r>
        <w:rPr>
          <w:b/>
        </w:rPr>
        <w:t>E. 4.3.4</w:t>
      </w:r>
    </w:p>
    <w:p>
      <w:r>
        <w:t>Schliesslich wird mit der Beschwerde gerügt, die Erfassung der Fotos sortiert nach der Grösse sei willkürlich. Es ergebe schlicht keinen Sinn,</w:t>
      </w:r>
    </w:p>
    <w:p>
      <w:r>
        <w:t>E-1885/2020 Seite 22 dass das SEM grossformatige Fotos als Beweismittel 8 und kleinformatige Fotos als Beweismittel 9 erfasst habe. Weiter sei insbesondere ersichtlich, dass die Fotos nicht nummeriert worden seien beziehungsweise diese Nummerierung bei der Gewährung der Akteneinsicht nicht ersichtlich sei. Weiter enthalte das Beweismittel 10 offenbar „2 Farbkopien", wobei auch diesbezüglich nicht nachvollziehbar sei, worum es sich dabei handeln solle. Auch wenn für die Akteneinreihung von Fotografien verschiedenen For- mats unter getrennter Ablage-Nummer kein sachlicher Grund gegeben sein mag, kann von einem willkürlichen Vorgehen nicht gesprochen wer- den. Zudem ergibt sich vorliegend aus dem Umstand, dass die Fotografien nicht einzeln nummeriert wurden, keine schwerwiegende Verletzung der Aktenführung. Hierzu ist festzuhalten, dass im Rahmen der Anhörung die einzelnen Fotos erläutert wurden (A14/23 F17 bis F20). Im Weiteren ist nicht verständlich, weshalb es der Beschwerdeführerin schlicht nicht nach- vollziehbar sei, worum es sich bei den zwei Farbkopien unter der Beweis- mittel-Nummer 10 handle, hat sie doch anlässlich der Anhörung selbst ex- plizit genannt, bei welchem Anlass die Fotos entstanden seien (A14/23 F21).</w:t>
      </w:r>
    </w:p>
    <w:p>
      <w:r>
        <w:rPr>
          <w:b/>
        </w:rPr>
        <w:t>E. 4.3.5</w:t>
      </w:r>
    </w:p>
    <w:p>
      <w:r>
        <w:t>Es sind demnach keine Gründe gegeben, dass die Aktenführung des SEM Mängel aufzeigen würde, die den Anspruch auf rechtliches Gehör in derart schwerwiegender Wiese verletzt hätten, die eine Aufhebung der an- gefochtenen Verfügung rechtfertigen würden.</w:t>
      </w:r>
    </w:p>
    <w:p>
      <w:r>
        <w:rPr>
          <w:b/>
        </w:rPr>
        <w:t>E. 4.4</w:t>
      </w:r>
    </w:p>
    <w:p>
      <w:r>
        <w:t>Die Beschwerdeführerin lässt eine Verletzung des Rechts auf Akten- einsicht rügen.</w:t>
      </w:r>
    </w:p>
    <w:p>
      <w:r>
        <w:rPr>
          <w:b/>
        </w:rPr>
        <w:t>E. 4.4.1</w:t>
      </w:r>
    </w:p>
    <w:p>
      <w:r>
        <w:t>Gemäss Art. 26 VwVG hat die Partei oder ihr Vertreter – unter Vorbe- halt der Ausnahmen gemäss Art. 27 Abs. 1 VwVG – grundsätzlich An- spruch darauf, sämtliche Aktenstücke einzusehen, welche geeignet sind, in einem konkreten Verfahren als Beweismittel zu dienen.</w:t>
      </w:r>
    </w:p>
    <w:p>
      <w:r>
        <w:rPr>
          <w:b/>
        </w:rPr>
        <w:t>E. 4.4.2</w:t>
      </w:r>
    </w:p>
    <w:p>
      <w:r>
        <w:t>Im Zusammenhang mit der Rüge auf Verletzung der ordnungsge- mässen Aktenführung macht die Beschwerdeführerin zumindest auch sinn- gemäss geltend, es sei zu Unrecht keine Einsicht in die Akte A11/2 gewährt worden. Wie bereits ausgeführt, handelt es sich dabei um einen Mangel, welcher durch die Offenlegung im vorliegenden Urteil als geheilt betrachtet werden kann (vgl. E. 4.3.1).</w:t>
      </w:r>
    </w:p>
    <w:p>
      <w:r>
        <w:t>E-1885/2020 Seite 23</w:t>
      </w:r>
    </w:p>
    <w:p>
      <w:r>
        <w:rPr>
          <w:b/>
        </w:rPr>
        <w:t>E. 4.4.3</w:t>
      </w:r>
    </w:p>
    <w:p>
      <w:r>
        <w:t>Weiter sei insbesondere festzuhalten, dass die dem unterzeichnen- den Rechtsanwalt zugestellten Aktenkopien – soweit erkennbar – die Be- weismittel 13 und 14 (Dokument "E._______" und "Bericht KDP") gar nicht enthalten würden. Dabei mag erstaunen, dass eine Unsicherheit zum Aus- druck gebracht wird, ob die Beweismittel 13 und 14 nun wirklich ediert wur- den oder nicht. Die Beweismittel müssten der Beschwerdeführerin bekannt sein, sodass sie auch hätte erkennen können, ob die von ihr eingereichten Aktenstücke nun tatsächlich Bestandteile der Gewährung der Aktenein- sicht durch das SEM gewesen sind. Jedenfalls gilt festzuhalten, dass das SEM diese Beweismittel nicht von der Akteneinsicht ausschloss. Sollten sie im Rahmen der Edition aus Versehen nicht zugestellt worden sein, hätte die Beschwerdeführerin beziehungsweise ihr Rechtsvertreter ohne Weite- res das SEM darauf aufmerksam machen und dieses um Nachsendung der Aktenstücke ersuchen können. Dies ist offenbar nicht erfolgt. Dem SEM kann keine Verletzung des Akteneinsichtsrechts und damit des Anspruchs auf rechtliches Gehör entgegengehalten werden.</w:t>
      </w:r>
    </w:p>
    <w:p>
      <w:r>
        <w:rPr>
          <w:b/>
        </w:rPr>
        <w:t>E. 4.4.4</w:t>
      </w:r>
    </w:p>
    <w:p>
      <w:r>
        <w:t>Eine Verletzung des Anspruchs auf Akteneinsicht und mithin auf rechtliches Gehör ist somit – mit Ausnahme des geheilten Mangels – nicht ersichtlich.</w:t>
      </w:r>
    </w:p>
    <w:p>
      <w:r>
        <w:rPr>
          <w:b/>
        </w:rPr>
        <w:t>E. 4.4.5</w:t>
      </w:r>
    </w:p>
    <w:p>
      <w:r>
        <w:t>Zudem hat sich das SEM in der Vernehmlassung zur Rüge der schwerwiegenden Verletzung des rechtlichen Gehörs in nicht zu beanstan- dender Weise geäussert, wozu die Beschwerdeführerin mit der Replik wie- derum hat Stellung beziehen können. Insbesondere hat das SEM in der Vernehmlassung zu Recht ausgeführt, dass das rechtliche Gehör zu den entscheidwesentlichen Aspekten und Beweismitteln gewährt wurde. Die Ausführungen in der Replik vermögen daran in entscheidrelevanter Hin- sicht nichts zu ändern.</w:t>
      </w:r>
    </w:p>
    <w:p>
      <w:r>
        <w:rPr>
          <w:b/>
        </w:rPr>
        <w:t>E. 4.4.6</w:t>
      </w:r>
    </w:p>
    <w:p>
      <w:r>
        <w:t>Der Eventualantrag, es sei das rechtliche Gehör zu den erwähnten Akten zu gewähren und nach der Gewährung der Akteneinsicht und even- tualiter des rechtlichen Gehörs eine angemessene Frist zur Einreichung einer Beschwerdeergänzung anzusetzen, ist als gegenstandslos gewor- den betreffend Akte 11/2 und im Übrigen als unbegründet abzuweisen.</w:t>
      </w:r>
    </w:p>
    <w:p>
      <w:r>
        <w:rPr>
          <w:b/>
        </w:rPr>
        <w:t>E. 4.5</w:t>
      </w:r>
    </w:p>
    <w:p>
      <w:r>
        <w:t>Mit der Beschwerde wird das Eventualbegehren gestellt, es sei die an- gefochtene Verfügung des SEM vom 2. März 2020 aufzuheben und die Sache dem SEM zur vollständigen und richtigen Abklärung und Feststel- lung des rechtserheblichen Sachverhalts und zur Neubeurteilung zurück- zuweisen.</w:t>
      </w:r>
    </w:p>
    <w:p>
      <w:r>
        <w:t>E-1885/2020 Seite 24</w:t>
      </w:r>
    </w:p>
    <w:p>
      <w:r>
        <w:rPr>
          <w:b/>
        </w:rPr>
        <w:t>E. 4.5.1</w:t>
      </w:r>
    </w:p>
    <w:p>
      <w:r>
        <w:t>Gemäss Art. 12 VwVG stellt die Behörde den Sachverhalt von Amtes wegen fest und bedient sich nötigenfalls der unter dieser Norm aufgeliste- ten Beweismittel. Die unrichtige oder unvollständige Feststellung des rechtserheblichen Sachverhalts in Verletzung der Untersuchungspflicht bil- 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4.5.2</w:t>
      </w:r>
    </w:p>
    <w:p>
      <w:r>
        <w:t>Die Parteien haben ein aus dem Anspruch auf rechtliches Gehör fliessendes Recht, an der Erstellung des Sachverhaltes mitzuwirken (Art. 29 Abs. 2 BV und Art. 26 ff. VwVG). Aus dem Anspruch auf rechtliches Gehör ergibt sich als Ausfluss von dessen Teilgehalt, mit eigenen Begeh- ren gehört zu werden, ein Anspruch der Parteien darauf, dass ihren Anträ- gen auf Abnahme von tauglichen und sachdienlichen Beweisen stattgege- ben wird. Die Behörde muss jedoch nur diejenigen Beweise erheben, die sie für die Feststellung des Sachverhaltes als tauglich erachtet (Art. 33 Abs. 1 VwVG).</w:t>
      </w:r>
    </w:p>
    <w:p>
      <w:r>
        <w:rPr>
          <w:b/>
        </w:rPr>
        <w:t>E. 4.5.3</w:t>
      </w:r>
    </w:p>
    <w:p>
      <w:r>
        <w:t>Das Bundesverwaltungsgericht ist nicht an die Begründung der Be- gehren gebunden (Art. 62 Abs. 4 VwVG) und kann eine Beschwerde auch aus anderen als den geltend gemachten Gründen gutheissen oder den an- gefochtenen Entscheid im Ergebnis mit einer Begründung bestätigen, die von jener der Vorinstanz abweicht (FRITZ GYGI, Bundesverwaltungsrechts- pflege, 2. Aufl., Bern 1983, S. 212; THOMAS HÄBERLI, in: Waldmann/Weis- senberger [Hrsg.], Praxiskommentar VwVG, 2. Aufl. 2016, N 48 zu Art. 62).</w:t>
      </w:r>
    </w:p>
    <w:p>
      <w:r>
        <w:rPr>
          <w:b/>
        </w:rPr>
        <w:t>E. 4.5.4</w:t>
      </w:r>
    </w:p>
    <w:p>
      <w:r>
        <w:t>Die Beschwerdeführerin führte auf dem selbstständig ausgefüllten Personalienblatt auf, sie sei irakische Staatsangehörige (Akte A1/2). An- lässlich der BzP gab sie dann zwar an, im Irak geboren und aufgewachsen zu sein, aber die iranische Staatsangehörigkeit zu besitzen (Akte A4/12 S. 3). In der Folge führte die Vorinstanz die Beschwerdeführerin primär un- ter iranischer Staatsangehörigkeit, behielt die irakische Staatsangehörig- keit jedoch als Alias-Identität bei. Festzuhalten ist, dass die Beschwerde- führerin bis anhin keine Identitätspapiere zu den Akten reichte, welche ihre iranische Staatsangehörigkeit zweifelsfrei belegen würden. Die Vorinstanz gelangte dennoch zur Überzeugung, dass der Iran der Heimatstaat der Be-</w:t>
      </w:r>
    </w:p>
    <w:p>
      <w:r>
        <w:t>E-1885/2020 Seite 25 schwerdeführerin sei, was von ihr nicht bestritten wird, womit allfällige Voll- zugshindernisse grundsätzlich mit Blick auf den Vollzug in den Iran zu prü- fen seien. Die Vorinstanz erachtete den Vollzug in den Iran gemäss Dispo- sitivziffer 5 der angefochtenen Verfügung vom 2. März 2020 als unzumut- bar und verfügte in der Folge den Wegweisungsvollzug in den Herkunfts- staat (Irak) mithin einen Drittstaat. Zum verfügten und angefochtenen Wegweisungsvollzug in den Drittstaat Irak ist folgendes festzuhalten: Aufgrund der Akten und der Aussagen der Beschwerdeführerin kann nicht ausgeschlossen werden, dass sie einen le- galisierten Aufenthaltsstatus im Irak innehatte, ist sie doch im Irak zur Welt gekommen und hat ihr ganzes Leben dort verbracht (A14/23 F60, F66). Die Beschwerdeführerin hat angegeben, über keine iranischen Papiere, sondern lediglich über von der KDP-I ausgestellte Papiere zu verfügen (A4/12 S. 3). Andere Identitätsdokumente habe sie nicht besessen (A14/23 F87). Das SEM führte in seinem Entscheid aus, die Beschwerdeführerin habe durch die KDP-I über eine Aufenthaltsbewilligung verfügt, weshalb es ihr bei einer Rückkehr möglich sei, wiederum eine Aufenthaltsbewilligung für den Nordirak zu erhalten. Diese Annahme geht fehl. Die Vorinstanz hätte vielmehr abklären müssen, ob es der Beschwerdeführerin mit ihren Papieren überhaupt möglich ist, legal in den Drittstaat Irak wiedereinzurei- sen und dort eine Aufenthaltsbewilligung zu erhalten. Die Frage der Mög- lichkeit, in den Irak zurückzukehren, stellt sich indes nicht allein unter dem Blickwinkel des Wegweisungsvollzugs, sondern auch unter demjenigen der Bestimmung von Art. 31a Abs. 1 Bst. c und e AsylG, zumal das Gericht die Erwägungen des SEM, dass die Beschwerdeführerin im Iran keine Ver- folgung drohen würde, nicht zu teilen vermag. Aufgrund ihrer exilpolitischen Aktivitäten im Irak sowie der Schweiz dürfte sie sehr wohl im Fokus der iranischen Behörden stehen. Das SEM hat es unterlassen, eine derartige Prüfung vorzunehmen. Insofern ist die Vorinstanz ihrer Pflicht zur vollstän- digen Abklärung des rechtserheblichen Sachverhalts im Sinne von Art. 12 VwVG nicht nachgekommen.</w:t>
      </w:r>
    </w:p>
    <w:p>
      <w:r>
        <w:rPr>
          <w:b/>
        </w:rPr>
        <w:t>E. 4.5.5</w:t>
      </w:r>
    </w:p>
    <w:p>
      <w:r>
        <w:t>Zusammenfassend hat die Vorinstanz den Sachverhalt im Hinblick auf einen allfälligen Nichteintretensentscheid und auf die Möglichkeit des Wegweisungsvollzugs in den Irak nicht rechtsgenüglich abgeklärt.</w:t>
      </w:r>
    </w:p>
    <w:p>
      <w:r>
        <w:rPr>
          <w:b/>
        </w:rPr>
        <w:t>E. 5</w:t>
      </w:r>
    </w:p>
    <w:p>
      <w:r>
        <w:t>Gemäss Art. 61 Abs. 1 VwVG entscheidet das Bundesverwaltungsgericht in der Sache selbst oder weist diese ausnahmsweise mit verbindlichen Weisungen an die Vorinstanz zurück. Eine Kassation und Rückweisung</w:t>
      </w:r>
    </w:p>
    <w:p>
      <w:r>
        <w:t>E-1885/2020 Seite 26 ans SEM ist insbesondere und wie vorliegend angezeigt, wenn weitere Tat- sachen festgestellt werden müssen und ein umfassendes Beweisverfahren durchzuführen ist.</w:t>
      </w:r>
    </w:p>
    <w:p>
      <w:r>
        <w:rPr>
          <w:b/>
        </w:rPr>
        <w:t>E. 6</w:t>
      </w:r>
    </w:p>
    <w:p>
      <w:r>
        <w:t>Nach dem Gesagten ist die Beschwerde insofern gutzuheissen, als mit ihr die Aufhebung der angefochtenen Verfügung beantragt worden ist. Die Verfügung des SEM vom 2. März 2020 ist aufzuheben und die Sache ist in Anwendung von Art. 61 Abs. 1 VwVG zur vollständigen Sachverhaltsermitt- lung und Neubeurteilung im Sinne der Erwägungen an die Vorinstanz zu- rückzuweisen.</w:t>
      </w:r>
    </w:p>
    <w:p>
      <w:r>
        <w:rPr>
          <w:b/>
        </w:rPr>
        <w:t>E. 7</w:t>
      </w:r>
    </w:p>
    <w:p>
      <w:r>
        <w:t>Bei dieser Verfahrenskonstellation ist nicht auf die weiteren Beschwerde- vorbringen einzugehen.</w:t>
      </w:r>
    </w:p>
    <w:p>
      <w:r>
        <w:rPr>
          <w:b/>
        </w:rPr>
        <w:t>E. 8</w:t>
      </w:r>
    </w:p>
    <w:p>
      <w:r>
        <w:t>Bei diesem Ausgang des Verfahrens sind keine Kosten aufzuerlegen (Art. 63 Abs. 1 und 2 VwVG). Das Gesuch um Erlass der Verfahrenskosten ist damit gegenstandslos geworden.</w:t>
      </w:r>
    </w:p>
    <w:p>
      <w:r>
        <w:rPr>
          <w:b/>
        </w:rPr>
        <w:t>E. 9</w:t>
      </w:r>
    </w:p>
    <w:p>
      <w:r>
        <w:t>Der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zu den Akten gereicht, weshalb die notwendigen Parteikosten aufgrund der Akten zu bestimmen sind (Art. 14 Abs. 2 in fine VGKE). Die von der Vor- instanz auszurichtende Parteientschädigung wird in Anwendung der ge- nannten Bestimmungen und unter Berücksichtigung der massgeblichen Bemessungsfaktoren von Amtes wegen auf insgesamt Fr. 2'600.– (inkl. Mehrwertsteueranteil und Auslagen) festgelegt.</w:t>
      </w:r>
    </w:p>
    <w:p>
      <w:r>
        <w:t>(Dispositiv nächste Seite)</w:t>
      </w:r>
    </w:p>
    <w:p>
      <w:r>
        <w:t>E-1885/2020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