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E-1875/2019 vom 18. März 2019</w:t>
      </w:r>
    </w:p>
    <w:p>
      <w:r>
        <w:t>Bundesverwaltungsgericht, 2019-03-18, DE</w:t>
      </w:r>
    </w:p>
    <w:p>
      <w:r>
        <w:rPr>
          <w:b/>
        </w:rPr>
        <w:t xml:space="preserve">Quelle: </w:t>
      </w:r>
      <w:r>
        <w:t>https://mcp.opencaselaw.ch/entscheid/bvger_E-1875_2019_d20190318</w:t>
      </w:r>
    </w:p>
    <w:p>
      <w:r>
        <w:t>FR: TAF E-1875/2019 du 18 mars 2019</w:t>
      </w:r>
    </w:p>
    <w:p>
      <w:r>
        <w:t>IT: TAF E-1875/2019 del 18 marzo 2019</w:t>
      </w:r>
    </w:p>
    <w:p>
      <w:pPr>
        <w:pStyle w:val="Heading2"/>
      </w:pPr>
      <w:r>
        <w:t>Regeste</w:t>
      </w:r>
    </w:p>
    <w:p>
      <w:r>
        <w:t>Asyl und Wegweisung | Asyl und Wegweisung; Verfügung des SEM vom 18. März 2019</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 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Die Beschwerdeführerinnen sind als Verfügungsadressatinnen zur Beschwerdeführung legitimiert (Art. 48 VwVG). Auf die frist- und formgerecht eingereichte Beschwerde ist einzu- treten (aArt. 108 Abs. 1 AsylG und Art. 52 Abs. 1 VwVG).</w:t>
      </w:r>
    </w:p>
    <w:p>
      <w:r>
        <w:rPr>
          <w:b/>
        </w:rPr>
        <w:t>E. 2.1</w:t>
      </w:r>
    </w:p>
    <w:p>
      <w:r>
        <w:t>Gegenstand des vorliegenden Verfahrens bilden nur noch die Frage nach der Flüchtlingseigenschaft, der Asylpunkt und die Wegweisung. Der Vollzug der Wegweisung ist nicht (mehr) zu prüfen, nachdem die Vo- rinstanz mit Verfügung vom 4. März 2021 die Dispositivziffern 4 und 5 der angefochtenen Verfügung aufgehoben und den Einbezug der Beschwer- deführerinnen in die vorläufige Aufnahme von C._______ verfügt hat.</w:t>
      </w:r>
    </w:p>
    <w:p>
      <w:r>
        <w:rPr>
          <w:b/>
        </w:rPr>
        <w:t>E. 2.2</w:t>
      </w:r>
    </w:p>
    <w:p>
      <w:r>
        <w:t>Die Kognition des Bundesverwaltungsgerichts und die zulässigen Rü- 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rPr>
          <w:b/>
        </w:rPr>
        <w:t>E. 4</w:t>
      </w:r>
    </w:p>
    <w:p>
      <w:r>
        <w:t>E-1875/2019 Seite 6</w:t>
      </w:r>
    </w:p>
    <w:p>
      <w:r>
        <w:rPr>
          <w:b/>
        </w:rPr>
        <w:t>E. 4.1</w:t>
      </w:r>
    </w:p>
    <w:p>
      <w:r>
        <w:t>Die Vorinstanz kommt in der angefochtenen Verfügung zum Schluss, die Vorbringen der Beschwerdeführerinnen hielten den Anforderungen an die Glaubhaftigkeit gemäss Art. 7 AsylG nicht stand. Die Beschwerdeführerin mache eine Verfolgung durch ihre Familie in Jor- danien geltend. Bei einer Rückkehr drohe ihr die Tötung, da sie einen Mann kurdischer Ethnie geheiratet und durch ihre unerlaubte Ausreise die Ehre der Familie beschmutzt habe. Diese familiären Probleme habe sie an der Erstbefragung nicht erwähnt, sondern damals vielmehr ausgesagt, sie hätte eigentlich kein Asylgesuch stellen wollen und sei nur wegen ihrem hier lebenden Ehemann in die Schweiz gekommen. Indem sie diese fami- liären Probleme an der Anhörung nachgeschoben habe, bestünden bereits aus diesem Umstand erhebliche Zweifel an der Glaubhaftigkeit dieses Vor- bringens. Ausserdem seien ihre inhaltlichen Ausführungen insgesamt un- stimmig, unsubstantiiert und widersprüchlich ausgefallen.</w:t>
      </w:r>
    </w:p>
    <w:p>
      <w:r>
        <w:rPr>
          <w:b/>
        </w:rPr>
        <w:t>E. 4.2</w:t>
      </w:r>
    </w:p>
    <w:p>
      <w:r>
        <w:t>Dem halten die Beschwerdeführerinnen in der Beschwerde im Wesent- lichen Folgendes entgegen: Der Umstand, dass die Beschwerdeführerin an der BzP die familiären Probleme in ihrer Heimat nicht erwähnt habe, bedeute nicht, sie habe wegen der Heirat mit ihrem kurdischen Ehemann keine Probleme gehabt. Vielmehr habe sie ausdrücklich festgehalten, sie stelle in der Schweiz nur ein Asylgesuch, weil ihr Mann hier lebe. Dies be- deute vielmehr, dass sie ein Asylgesuch auch in einem anderen Land ge- stellt hätte, wenn sich ihr Ehemann sich in einem anderen Land befunden hätte. Zudem habe sie nie gesagt, sie habe keine familiären Probleme und ihr sei auch keine solche Frage gestellt worden. Ausserdem habe die be- treffende Befragung offensichtlich die Frage der Anwendung des Dublin- Abkommens zum Thema gehabt, weshalb keine Befragung, nicht einmal eine summarische, zu den Asylgründen hätte erfolgen sollen. Weiter miss- achte die Vorinstanz die Voraussetzungen der Glaubhaftigkeit im Sinne von Art. 7 AsylG und verlange einen überhöhten Beweismassstab. Weiter habe die Vorinstanz den Untersuchungsgrundsatz verletzt, indem sie die Anhörung vom 25. Januar 2017 noch während des hängigen Dublin-Ver- fahrens durchgeführt und auch keine weiteren Abklärungen vorgenommen habe, namentlich zum laufenden Strafverfahren gegen den Bruder wegen versuchter Tötung und den veränderten Umständen aufgrund der Geburt der Tochter. Die Vorinstanz hätte diesbezüglich eine weitere Anhörung durchführen müssen. Ausserdem monieren die Beschwerdeführerinnen die lange Verfahrensdauer; zwischen der Einreichung des Asylgesuchs und der Anhörung seien neun Monate und danach bis zum Asylentscheid über zwei Jahre vergangen.</w:t>
      </w:r>
    </w:p>
    <w:p>
      <w:r>
        <w:t>E-1875/2019 Seite 7</w:t>
      </w:r>
    </w:p>
    <w:p>
      <w:r>
        <w:rPr>
          <w:b/>
        </w:rPr>
        <w:t>E. 5.1</w:t>
      </w:r>
    </w:p>
    <w:p>
      <w:r>
        <w:t>Auf Beschwerdeebene werden verschiedene formelle Rügen erhoben, die vorab zu beurteilen sind, da sie zu einer Kassation der angefochtenen Verfügung führen könnten. Die Beschwerdeführerinnen rügen eine Verlet- zung des rechtlichen Gehörs sowie eine Verletzung des Untersuchungs- grundsatzes beziehungsweise eine unvollständige und unrichtige Abklä- rung des rechtserheblichen Sachverhalts.</w:t>
      </w:r>
    </w:p>
    <w:p>
      <w:r>
        <w:rPr>
          <w:b/>
        </w:rPr>
        <w:t>E. 5.2</w:t>
      </w:r>
    </w:p>
    <w:p>
      <w:r>
        <w:t>Der Untersuchungsgrundsatz verlangt, dass die Behörde von Amtes wegen für die richtige und vollständige Abklärung des rechtserheblichen Sachverhalts sorgt, die für das Verfahren notwendigen Unterlagen be- 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 sichtigt werden (vgl. BVGE 2016/2 E. 4.3). Das rechtliche Gehör, welches in Art. 29 Abs. 2 BV verankert und in den Art. 29 ff. VwVG für das Verwal- tungsverfahren konkretisiert wird, dient einerseits der Aufklärung des Sach- verhalts, andererseits stellt es ein persönlichkeitsbezogenes Mitwirkungs- recht der Parteien dar. Gemäss Art. 30 Abs. 1 VwVG hört die Behörde die Parteien an, bevor sie verfügt (vgl. BVGE 2011/37 E. 5.4.1).</w:t>
      </w:r>
    </w:p>
    <w:p>
      <w:r>
        <w:rPr>
          <w:b/>
        </w:rPr>
        <w:t>E. 5.3</w:t>
      </w:r>
    </w:p>
    <w:p>
      <w:r>
        <w:t>Was die Rüge der Verletzung des rechtlichen Gehörs betrifft, machen die Beschwerdeführerinnen formelle Fehler seitens der Vorinstanz geltend, welche ausschliesslich die Thematik des Wegweisungsvollzugs beschla- gen. Eine Auseinandersetzung mit dieser formellen Rüge erübrigt sich vor- liegend und auf die entsprechenden Ausführungen ist nicht weiter einzuge- hen, nachdem die Vorinstanz mit Verfügung vom 4. März 2020 die Be- schwerdeführerinnen in die vorläufige Aufnahme von C._______ einbezo- gen hat, der Wegweisungsvollzug mithin nicht mehr Verfahrensgegenstand bildet.</w:t>
      </w:r>
    </w:p>
    <w:p>
      <w:r>
        <w:rPr>
          <w:b/>
        </w:rPr>
        <w:t>E. 5.4</w:t>
      </w:r>
    </w:p>
    <w:p>
      <w:r>
        <w:t>Auf das in der Beschwerde gestellte Akteneinsichtsgesuch ist ebenfalls nicht mehr einzugehen, nachdem das Bundesverwaltungsgericht dieses mit Zwischenverfügung vom 27. Februar 2020 abgewiesen hat.</w:t>
      </w:r>
    </w:p>
    <w:p>
      <w:r>
        <w:rPr>
          <w:b/>
        </w:rPr>
        <w:t>E. 5.5</w:t>
      </w:r>
    </w:p>
    <w:p>
      <w:r>
        <w:t>E-1875/2019 Seite 8</w:t>
      </w:r>
    </w:p>
    <w:p>
      <w:r>
        <w:rPr>
          <w:b/>
        </w:rPr>
        <w:t>E. 5.5.1</w:t>
      </w:r>
    </w:p>
    <w:p>
      <w:r>
        <w:t>Es bleibt somit die Rüge der Verletzung des Untersuchungsgrundsat- zes zu beurteilen. Diese erweist sich als unbegründet. Die Anhörung vom 25. Januar 2017 ist insgesamt nicht zu beanstanden. Es trifft zwar zu, dass die Anhörung zu einem Zeitpunkt durchgeführt worden ist, als das Dublin- Verfahren noch nicht formell abgeschlossen worden war. Die Beendigung des Dublin-Verfahrens beziehungsweise die Zuständigkeit zur Durchfüh- rung des Asyl- und Wegweisungsverfahrens in der Schweiz wurde erst mit Verfügung der Vorinstanz vom 3. April 2017 festgestellt, mithin erst nach der Anhörung vom 25. Januar 2017. Es trifft zwar zu, dass dieses Vorgehen mit Blick auf einen (zeitlich) ordnungsgemässen Verfahrensablauf nicht nachvollziehbar ist, da die vertiefte Anhörung zu den Asylgründen logisch erst nach der Feststellung der (nationalen) Zuständigkeit erfolgt. Entschei- dend ist vorliegend aber, dass der Beschwerdeführerin daraus im Ergebnis kein konkreter Nachteil entstanden ist und in der Beschwerde im Übrigen auch nicht aufgezeigt wird. Die Beschwerdeführerin wurde an der Anhö- rung zu ihren Asylgründen befragt und ihr wurde Gelegenheit gegeben, sich hierzu ausführlich zu äussern, was sie denn auch getan hat (vgl. SEM- Akten, A40/13, Frage 40). Der Umstand, dass sie im Rahmen der Anhö- rung zu den Asylgründen auch zur einer allfälligen Zuständigkeit von und Wegweisung in die Niederlande befragt wurde (vgl. SEM-Akte, A40/13, Fragen 66 und 67) – was formell dem Dublin-Verfahren zuzuordnen ist – stellt demgemäss keine Verletzung der Abklärungspflicht dar, welche eine Kassation der angefochtenen Verfügung rechtfertigen würde.</w:t>
      </w:r>
    </w:p>
    <w:p>
      <w:r>
        <w:rPr>
          <w:b/>
        </w:rPr>
        <w:t>E. 5.5.2</w:t>
      </w:r>
    </w:p>
    <w:p>
      <w:r>
        <w:t>Gleiches gilt für den Vorwurf der Beschwerdeführerin, die Vorinstanz habe es unterlassen, eine weitere, umfassende Anhörung durchzuführen. Insbesondere wiege schwer, so die Beschwerdeführerin, dass die Vor- instanz keine weiteren Fragen betreffend das Verfahren gegen den Bruder wegen eines versuchten Tötungsdelikts gestellt habe. Es trifft zwar zu, dass die Vorinstanz zum entsprechenden Vorbringen an der Anhörung keine weiteren Fragen gestellt hat. Die Beschwerdeführerin führte dieses Vorbringen an der Anhörung jedoch nicht weiter aus und legte auch keine weiteren Details dar, wie beispielweise den konkreten Tatvorwurf und die Hintergründe des behaupteten Strafverfahrens gegen den Bruder. Die Be- schwerdeführerin hatte im Nachgang an die Anhörung bis zum heutigen Zeitpunkt zudem hinreichend Gelegenheit und im Rahmen der ihr oblie- genden Mitwirkungspflicht (Art. 8 AsylG) auch die Obliegenheit, dieses Vor- bringen zu substantiieren und entsprechende Beweismittel einzureichen. Dies hat sie nicht getan. Es bestand demnach keine Veranlassung, aus diesem Grund eine weitere Anhörung durchzuführen. Eine solche ergän- zende Anhörung drängte sich auch aufgrund der Geburt der Tochter im</w:t>
      </w:r>
    </w:p>
    <w:p>
      <w:r>
        <w:t>E-1875/2019 Seite 9 Februar 2018 nicht auf. Die Vorinstanz hatte Kenntnis über die Geburt der Tochter sowie deren syrische Staatsangehörigkeit und hat diese eingetre- tene Veränderung der familiären Verhältnisse in der Schweiz in der ange- fochtenen Verfolgung unter dem Aspekt des Wegweisungsvollzugs hinrei- chend berücksichtigt. Es ist nicht ersichtlich, welche Abklärungen sie hierzu hätte tätigen sollen und dies wird in der Beschwere auch nicht weiter sub- stantiiert. Demgemäss ist entgegen der Auffassung der Beschwerdeführe- rinnen auch aus diesem Grund nicht zu beanstanden, wenn die Vorinstanz keine weitere Anhörung durchgeführt hat.</w:t>
      </w:r>
    </w:p>
    <w:p>
      <w:r>
        <w:rPr>
          <w:b/>
        </w:rPr>
        <w:t>E. 5.5.3</w:t>
      </w:r>
    </w:p>
    <w:p>
      <w:r>
        <w:t>Auch aus der Verfahrensdauer können die Beschwerdeführerinnen, die vor Ergehen der angefochtenen Verfügung keine formelle Rechtsver- zögerungsbeschwerde eingereicht haben, schliesslich nichts zu ihren Gunsten ableiten. Die Rüge, die Vorinstanz habe ihre Abklärungspflicht verletzt, indem sie seit Einreichung des Asylgesuchs bis zur Durchführung der Anhörung neun Monate und danach bis zum Asylentscheid weitere zwei Jahr zugewartet habe, ist unbegründet.</w:t>
      </w:r>
    </w:p>
    <w:p>
      <w:r>
        <w:rPr>
          <w:b/>
        </w:rPr>
        <w:t>E. 5.6</w:t>
      </w:r>
    </w:p>
    <w:p>
      <w:r>
        <w:t>Zusammenfassend erweisen sich die verschiedenen Rügen der Verlet- zung des formellen Rechts – soweit sie nicht gegenstandslos geworden sind – als unbegründet. Das Begehren, es sei die angefochtene Verfügung aufzuheben und die Sache zur vollständigen und richtigen Abklärung und Feststellung des rechtserheblichen Sachverhalts sowie zur Neubeurteilung an die Vorinstanz zurückzuweisen, ist demzufolge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E-1875/2019 Seite 10 Punkten zu wenig begründet oder in sich widersprüchlich sind, den Tatsa- chen nicht entsprechen oder massgeblich auf gefälschte oder verfälschte Beweismittel abgestützt werden (Art. 7 AsylG).</w:t>
      </w:r>
    </w:p>
    <w:p>
      <w:r>
        <w:rPr>
          <w:b/>
        </w:rPr>
        <w:t>E. 7.1</w:t>
      </w:r>
    </w:p>
    <w:p>
      <w:r>
        <w:t>Nach Prüfung der Akten durch das Gericht ist sodann in materieller Hinsicht in Übereinstimmung mit der Vorinstanz festzustellen, dass die Asylvorbringen der Beschwerdeführerin den Anforderungen an das Glaub- haftmachen gemäss Art. 7 AsylG nicht standzuhalten vermögen, weshalb vorab auf die zutreffenden Erwägungen der Vorinstanz zu verweisen ist.</w:t>
      </w:r>
    </w:p>
    <w:p>
      <w:r>
        <w:rPr>
          <w:b/>
        </w:rPr>
        <w:t>E. 7.2</w:t>
      </w:r>
    </w:p>
    <w:p>
      <w:r>
        <w:t>Die Asylvorbingen der Beschwerdeführerin beziehen sich auf familiäre Probleme in ihrer Heimat aufgrund der Heirat ihres Ehemanns. Die Vor- instanz ist zu Recht zum Schluss gelangt, dass diese Asylvorbringen erst- mals anlässlich der Zweitbefragung beziehungsweise Anhörung vorge- bracht wurden und als nachgeschoben zu qualifizieren sind. Eine Gesuch- stellerin hat zwar nicht die Pflicht, sämtliche Gründe ihres Asylgesuchs ab- schliessend in der Erstbefragung darzulegen. Klare asylrelevante Aussa- gen, die in der Erstbefragung von den späteren Aussagen diametral abwei- chen oder bestimmte Ereignisse oder Befürchtungen, die nicht ansatz- weise erwähnt werden, lassen sich jedoch nicht mit dem summarischen Charakter der Erstbefragung erklären (so bereits grundlegend EMARK 1993/3 E. 3 S. 13). Die hiergegen vorgetragenen Erklärungsversuche auf Beschwerdeebene vermögen nicht zu überzeugen. Die Beschwerdeführe- rin wurde anlässlich der BzP ausdrücklich nach den Gründen ihres Asylge- suchs gefragt, wobei sie damals keine Gründe vorgetragen hatte (vgl. SEM-Akte, A6/11, Ziffer 7 S. 7). Dabei erklärte sie gar, sie habe eigentlich kein Asylgesuch stellen wollen, und habe dies nur getan, weil ihr Mann hier lebe (vgl. SEM-Akte, A6/11, Ziffer 7.01 S. 7). Auch sind die gestellten Fra- gen zu den Asylgründen an der BzP nicht zu beanstanden, an deren An- schluss die Beschwerdeführerin bestätigte, alle Gründe für das Verlassen ihres Heimatstaates dargelegt zu haben (a.a.O.). Hinzu kommt, dass sie nach ihrer Einreise in der Schweiz mehr als zwei Monate mit der Einrei- chung eines Asylgesuchs zugewartet hat. Daran ändert auch nicht, dass anlässlich der BzP die Anwendung des Dublin-Verfahrens im Raum stand und die Beschwerdeführerin auch zu einer allfälligen Zuständigkeit der Nie- derlande für die Durchführung des Asyl- und Wegweisungsverfahrens be- fragt wurde (vgl. SEM-Akte, A6/11 Ziffer 8.01 S. 8). Schliesslich vermag auch die Erklärung der Beschwerdeführerin anlässlich der Anhörung be- ziehungsweise Zweitbefragung – es sei an der BzP nicht zugelassen wor- den, dass sie ihre Gründe erwähne und sie habe ausserdem nicht über ihre</w:t>
      </w:r>
    </w:p>
    <w:p>
      <w:r>
        <w:t>E-1875/2019 Seite 11 Probleme sprechen wollen, damit sie keine Probleme mit der Familie be- komme (vgl. SEM-Akten, A40/13, F40 und F44) – nicht zu überzeugen. Ihre anlässlich der Anhörung vorgetragenen Asylvorbringen wurden demge- mäss nachgeschoben, womit diesen Vorbringen und insbesondere der Glaubhaftigkeit der Fluchtgeschichte der Boden entzogen ist.</w:t>
      </w:r>
    </w:p>
    <w:p>
      <w:r>
        <w:t>Im Übrigen ist zwecks Vermeidung von Wiederholungen auf die weiteren, ausführlichen Erwägungen der Vorinstanz zu verweisen, mit denen sie kon- krete Ausführungen der Beschwerdeführerin zu den Asylgründen zutref- fend als unsubstantiiert, widersprüchlich und stereotyp aufgezeigt hat, na- mentlich zum angeblichen Strafverfahren gegen den Bruder, der Kenntnis über die kurdische Ethnie des Ehemanns und dem Leben im und die Flucht aus dem Haus der Familie.</w:t>
      </w:r>
    </w:p>
    <w:p>
      <w:r>
        <w:rPr>
          <w:b/>
        </w:rPr>
        <w:t>E. 7.3</w:t>
      </w:r>
    </w:p>
    <w:p>
      <w:r>
        <w:t>Zusammenfassend ist festzuhalten, dass die Beschwerdeführerinnen nichts vorgebracht haben, was geeignet wäre, ihre Flüchtlingseigenschaft glaubhaft zu machen. Die Vorinstanz hat ihre Asylgesuche zu Recht abge- lehnt.</w:t>
      </w:r>
    </w:p>
    <w:p>
      <w:r>
        <w:rPr>
          <w:b/>
        </w:rPr>
        <w:t>E. 8</w:t>
      </w:r>
    </w:p>
    <w:p>
      <w:r>
        <w:t>Lehnt das SEM das Asylgesuch ab oder tritt es darauf nicht ein, so verfügt es in der Regel die Wegweisung aus der Schweiz und ordnet den Vollzug an, wobei es den Grundsatz der Einheit der Familie berücksichtigt (Art. 44 AsylG). Die Beschwerdeführerinnen verfügen weder über eine ausländer- rechtliche Aufenthaltsbewilligung noch über einen Anspruch auf Erteilung einer solchen. Die Wegweisung wurde demnach ebenfalls zu Recht ange- 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10</w:t>
      </w:r>
    </w:p>
    <w:p>
      <w:r>
        <w:t>Bei diesem Ausgang des Verfahrens wären die Kosten den Beschwerde- führerinnen aufzuerlegen (Art. 63 Abs. 1 VwVG). Indessen wurde mit Zwi- schenverfügung vom 27. Februar 2020 das Gesuch um unentgeltliche Pro- zessführung gutheissen. Es sind somit grundsätzlich keine Verfahrenskos- ten aufzuerlegen. Aufgrund der aktenkundig gewordenen Erwerbstätigkeit des Ehemanns der Beschwerdeführerin wurde sie mit Zwischenverfügung</w:t>
      </w:r>
    </w:p>
    <w:p>
      <w:r>
        <w:t>E-1875/2019 Seite 12 vom 20. Januar 2020 aufgefordert, dem Gericht eine Fürsorgeabhängig- keitsbestätigung beziehungsweise das Formular «Gesuch um unentgeltli- che Rechtspflege» einzureichen. Mit Eingabe vom 2. Februar 2022 bestä- tigte die Beschwerdeführerin, nicht erwerbstätig zu sein. Ihr Ehemann habe seit 1. Dezember 2021 eine Anstellung als Umzugsmitarbeiter (auf Abruf), nachdem er zuvor über sechs Monate arbeitslos gewesen ist und von der Arbeitslosenkasse unterstützt wurde. Gemäss diesen Angaben und unter Berücksichtigung der monatlichen Auslagen sowie dem monatlichen Grundbedarf ist nach wie vor von der prozessualen Mittellosigkeit der Be- schwerdeführerin auszugehen, weshalb die Zwischenverfügung vom 27. Februar 2020 nicht in Wiedererwägung zu ziehen ist.</w:t>
      </w:r>
    </w:p>
    <w:p>
      <w:r>
        <w:t>(Dispositiv nächste Seite)</w:t>
      </w:r>
    </w:p>
    <w:p>
      <w:r>
        <w:t>E-1875/2019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