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E-1874/2017 vom 8. Mai 2017</w:t>
      </w:r>
    </w:p>
    <w:p>
      <w:r>
        <w:t>Bundesverwaltungsgericht, 2017-05-08, DE</w:t>
      </w:r>
    </w:p>
    <w:p>
      <w:r>
        <w:rPr>
          <w:b/>
        </w:rPr>
        <w:t xml:space="preserve">Quelle: </w:t>
      </w:r>
      <w:r>
        <w:t>https://mcp.opencaselaw.ch/entscheid/bvger_E-1874_2017</w:t>
      </w:r>
    </w:p>
    <w:p>
      <w:r>
        <w:t>FR: TAF E-1874/2017 du 8 mai 2017</w:t>
      </w:r>
    </w:p>
    <w:p>
      <w:r>
        <w:t>IT: TAF E-1874/2017 del 8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Die Beschwerde enthält folgende Rügen: Nichtigkeit (E. 4), Verletzung des rechtlichen Gehörs (E. 5.1 ff.), unvollständige und unrichtige Abklärung des rechtserheblichen Sachverhalts (E. 5.6) sowie verschiedene Bundesrechtsverletzungen (E. 6 ff.).</w:t>
      </w:r>
    </w:p>
    <w:p>
      <w:r>
        <w:rPr>
          <w:b/>
        </w:rPr>
        <w:t>E. 4</w:t>
      </w:r>
    </w:p>
    <w:p>
      <w:r>
        <w:t>Der Beschwerdeführer bringt vor, die Verfügung der Vorinstanz leide an einem schweren formellen Mangel, welcher die Verfügung nichtig mache. Die Verfügung verletze den zentralen Anspruch auf Rechtsgleichheit, da aus ihr nicht hervorgehe, welche Person für den gefällten Entscheid zuständig gewesen sei. Die Rüge des Beschwerdeführers geht fehl. Er verkennt, dass die angefochtene Verfügung nicht von einer bestimmten Person erlassen wurde, sondern von der vorliegend zuständigen Behörde, nämlich dem Staatssekretariat für Migration. Die verfügende Behörde geht aus der angefochtenen Verfügung ohne weiteres hervor, weshalb der Entscheid diesbezüglich nicht unter einem Formmangel leidet und keine Nichtigkeit anzunehmen ist. Der Anspruch auf Rechtsgleichheit ist nicht verletzt.</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Bezüglich der vorgebrachten Verletzung des rechtlichen Gehörs in Form einer Verweigerung des Akteneinsichtsrechts ist auf die diesbezüglichen Erwägungen in der Zwischenverfügung vom 3. April 2017 zu verweisen. Eine Verletzung des Akteneinsichtsrechts liegt nicht vor.</w:t>
      </w:r>
    </w:p>
    <w:p>
      <w:r>
        <w:rPr>
          <w:b/>
        </w:rPr>
        <w:t>E. 5.3</w:t>
      </w:r>
    </w:p>
    <w:p>
      <w:r>
        <w:t>Der Beschwerdeführer bringt weiter vor, die Anhörung habe erst eineinhalb Jahre nach seiner Flucht respektive der Erstbefragung sowie unter unhaltbaren Bedingungen stattgefunden. Es sei im Gebäude gebaut worden und die Befragerin habe unter Zeitdruck gestanden. Er habe unter diesen Umständen nicht alles sagen können. Ausserdem habe die BzP lediglich eine Stunde gedauert und er sei wiederholt angewiesen worden, sich kurz zu fassen. In den Protokollen der beiden Befragungen des Beschwerdeführers finden sich keine Anzeichen für allfällige Verletzungen des rechtlichen Gehörs. Aus der Tatsache, dass die BzP lediglich eine Stunde gedauert hat, kann der Beschwerdeführer nichts zu seinen Gunsten ableiten. Dafür, dass er vom Übersetzer immer wieder unterbrochen worden wäre und dieser ihm nicht erlaubt habe, zu sprechen, finden sich im Protokoll keine Anzeichen (vgl. SEM-Akten, A3/10). Gleiches gilt für die Anhörung. Weder aus dem Protokoll noch aus dem Unterschriftenblatt der Hilfswerkvertretung geht hervor, dass die Anhörung nicht innerhalb der gesetzlichen Anforderungen stattgefunden habe. Gegen Ende der Anhörung wird der Beschwerdeführer mehrfach gefragt, ob er alles habe sagen können. Da er dies weder klar verneint noch bejaht, wird ihm nochmals die Möglichkeit gegeben, weitere Gründe für die Stellung seines Asylgesuchs anzugeben (SEM-Akten, A12/15 F114 ff.). Weil er vorerst vom Thema abschweift, wird er kurz unterbrochen und angehalten, sich auf seine Verfolgungsgründe zu beschränken. Schliesslich wird noch kurz auf seine beabsichtigte Kandidatur als Abgeordneter eingegangen, bevor er nochmals gefragt wird, ob er noch etwas ergänzen wolle. Da er lediglich sein Vertrauen in die Schweizer Regierung ausspricht und sich um Hilfe bezüglich einer Ausbildung in der Schweiz erkundigt, wird die Befragung beendet. Von Zeitdruck oder störendem Baulärm ist dabei nichts zu lesen. Aus dem Protokoll geht klar hervor, dass der Beschwerdeführer alles Wesentliche zum Ausdruck bringen konnte. Schliesslich bestätigt er unterschriftlich, dass das Protokoll ihm Satz für Satz vorgelesen und in eine verständliche Sprache übersetzt worden sei sowie dass es vollständig sei und seinen freien Äusserungen entspreche (SEM-Akten, A12/15 S. 14). Aus dem eingereichten Schreiben einer Privatperson, welche als seine Begleitung an der Anhörung anwesend gewesen ist, kann er nichts zu seinen Gunsten ableiten. Schliesslich ergibt sich auch aus der zeitlichen Differenz zwischen Flucht beziehungsweise BzP und der Anhörung keine Verletzung des rechtlichen Gehörs. Die diesbezüglichen Rügen des Beschwerdeführers sind unbegründet.</w:t>
      </w:r>
    </w:p>
    <w:p>
      <w:r>
        <w:rPr>
          <w:b/>
        </w:rPr>
        <w:t>E. 5.4</w:t>
      </w:r>
    </w:p>
    <w:p>
      <w:r>
        <w:t>Der Beschwerdeführer macht weiter geltend, er habe zahlreiche Beweismittel eingereicht, welche die Vorinstanz nicht gewürdigt habe. Die Vorinstanz habe deren Relevanz und Bedeutung verkannt. Damit liege eine Verletzung des rechtlichen Gehörs in Form der Begründungspflicht vor. Der Beschwerdeführer verwechselt hier eine Verletzung des rechtlichen Gehörs mit der von der Vorinstanz vorgenommenen Beweiswürdigung. Eine diesbezügliche Verletzung des rechtlichen Gehörs liegt jedenfalls nicht vor. Die Vorinstanz hat sämtliche eingereichten Beweismittel im Sachverhalt aufgenommen (vgl. angefochtenen Verfügung S. 2 unten) und diese entsprechend ihrer Rechtserheblichkeit gewürdigt (vgl. angefochtene Verfügung S. 4).</w:t>
      </w:r>
    </w:p>
    <w:p>
      <w:r>
        <w:rPr>
          <w:b/>
        </w:rPr>
        <w:t>E. 5.5</w:t>
      </w:r>
    </w:p>
    <w:p>
      <w:r>
        <w:t>Bezüglich der vorgebrachten weitergehenden Verletzung der Begründungspflicht ist darauf zu verweisen, dass sich die Vorinstanz nicht mit allen Aussagen des Beschwerdeführers einzeln auseinandersetzen muss (vgl. hierzu E. 5.1). So geht aus der angefochtenen Verfügung hervor, dass sich die Vorinstanz mit den wesentlichen Vorbringen des Beschwerdeführers auseinandergesetzt hat und eine sachgerechte Anfechtung ohne weiteres möglich war. Die vom Beschwerdeführer auf Beschwerdeebene aufgeführten Punkte (vgl. Beschwerdeeingabe S. 18 ff.) beziehen sich sodann auf die Würdigung des Sachverhaltes und nicht auf die Begründungspflicht der Vorinstanz.</w:t>
      </w:r>
    </w:p>
    <w:p>
      <w:r>
        <w:rPr>
          <w:b/>
        </w:rPr>
        <w:t>E. 5.6</w:t>
      </w:r>
    </w:p>
    <w:p>
      <w:r>
        <w:t>Schliesslich bringt der Beschwerdeführer vor, die Vorinstanz habe den Sachverhalt unvollständig und unrichtig abgeklärt. Auch diesbezüglich setzt sich der Beschwerdeführer auf Beschwerdeebene grossmehrheitlich mit der Beweiswürdigung auseinander. Wie nachfolgend zu zeigen ist, hat die Vorinstanz den rechtserheblichen Sachverhalt richtig und vollständig festgestellt.</w:t>
      </w:r>
    </w:p>
    <w:p>
      <w:r>
        <w:rPr>
          <w:b/>
        </w:rPr>
        <w:t>E. 5.7</w:t>
      </w:r>
    </w:p>
    <w:p>
      <w:r>
        <w:t>Zusammenfassend liegt keine Verletzung des rechtlichen Gehörs (in der Gestalt von Anhörungsrecht, Akteneinsichtsrecht, Begründungspflicht, Rechtsgleichheit) vor. Die Rüge ist unbegründet.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7.1</w:t>
      </w:r>
    </w:p>
    <w:p>
      <w:r>
        <w:t>Die Vorinstanz kommt in der angefochtenen Verfügung zum Schluss, die Vorbringen des Beschwerdeführers würden den Anforderungen an die Glaubhaftigkeit gemäss Art. 7 AsylG nicht standhalten. So mache er in wesentlichen Punkten unterschiedliche Angaben. Er widerspreche sich bezüglich der Aufforderungen der TMVP, als Chauffeur tätig zu sein. Ausserdem sei davon auszugehen, dass er versucht habe, seinen Asylgründen an der Anhörung mehr Gewicht zu verleihen, indem er erstmals behauptet habe, bei der Verfolgung durch die TMVP handle es sich um ein politisches Komplott. Weiter würden seine Vorbringen auf einer Häufung von Zufällen basieren, weshalb diese konstruiert wirken würden. Schliesslich würden auch die eingereichten Beweismittel nichts an der Schlussfolgerung der Unglaubhaftigkeit seiner Vorbringen ändern können.</w:t>
      </w:r>
    </w:p>
    <w:p>
      <w:r>
        <w:rPr>
          <w:b/>
        </w:rPr>
        <w:t>E. 7.2</w:t>
      </w:r>
    </w:p>
    <w:p>
      <w:r>
        <w:t>Der Beschwerdeführer wendet dagegen ein, die BzP habe nur summarischen Charakter und es könne keinesfalls von diametralen Abweichungen in seinen Vorbringen die Rede sein. Ausserdem sei zwischen den Befragungen viel Zeit vergangen. Des Weiteren handle es sich bei einem von der Vorinstanz hervorgehobenen Widerspruch um ein klassisches Beispiel einer Konkretisierung. Bezüglich den von der Vorinstanz erwähnten Zufällen müsse festgestellt werden, dass diese mit keinem Wort ausführe, was genau erfahrungswidrig und unlogisch sei. Vielmehr seien seine Vorbringen stringent und würden dem Setting der Zeit vor grossen Wahlen entsprechen. Zudem habe die Vorinstanz aktuelle Länderhintergrundinformationen nicht in ihre Würdigung miteinbezogen. Vor diesem Hintergrund werde klar, dass er wegen seiner Unterstützung der TNA (Tamil National Alliance) eine Verfolgung durch die TMVP und die sri-lankischen Behörden zu befürchten habe.</w:t>
      </w:r>
    </w:p>
    <w:p>
      <w:r>
        <w:rPr>
          <w:b/>
        </w:rPr>
        <w:t>E. 7.3</w:t>
      </w:r>
    </w:p>
    <w:p>
      <w:r>
        <w:t>Die Schlussfolgerungen der Vorinstanz sind indes weder in tatsächlicher noch in rechtlicher Hinsicht zu beanstanden. In der angefochtenen Verfügung wird einlässlich begründet, weshalb ein Grossteil der Aussagen des Beschwerdeführers widersprüchlich und unglaubhaft ausgefallen ist. So stellt die Vorinstanz zutreffend fest, dass der Beschwerdeführer wesentliche Punkte seiner Asylvorbringen erstmals in der Anhörung vorbringt und andere Aussagen sich widersprechen. Er bringt in der Anhörung vor, dass er vermute, dass es sich um ein politisches Komplott gehandelt habe (SEM-Akten, A12/15 F83). Liest man seine Gesuchsgründe, welche anlässlich der BzP summarisch erfragt wurden, kommt man nicht zum Schluss, dass es sich um eine politische Verfolgung gehandelt haben könnte. Vielmehr erhält man den Eindruck, dass es um eine simple Auseinandersetzung über den Gebrauch eines Fahrzeuges gegangen sei (SEM-Akten, A3/10 S. 6). Das Vorbringen muss deshalb als nachgeschoben und somit unglaubhaft qualifiziert werden. Diese Schlussfolgerung bestärkt die Aussage des Beschwerdeführers in der BzP, wonach er sich nie politisch betätigt habe (SEM-Akten, A3/10 S. 6). In der Anhörung bringt er jedoch vor, er habe für die TNA Plakate geklebt, als Chauffeur gearbeitet und sogar beabsichtigt, bei den Wahlen zu kandidieren (SEM-Akten, A12/15 F88 ff. und F120 ff.). Wie die Vorinstanz korrekt ausführt, lässt dies vermuten, dass er versucht hat, seinen Ausführungen in der Anhörung eine politische Note zu geben und so seinen Asylgründen im Nachhinein mehr Gewicht zu verleihen. Ebenfalls finden sich mehrere Widersprüche in seinen Aussagen. Wie der Beschwerdeführer korrekt ausführt, handelt es sich bei der BzP lediglich um eine summarische Befragung der Asylgründe. Der Beschwerdeführer wird lediglich gebeten, das Wesentliche kundzutun. Er schildert die asylrelevanten Ereignisse in der BzP jedoch in mehreren Punkten anders als in der Anhörung. In der BzP gibt er zu Protokoll, am 2. August 2015 erstmals von der TMVP aufgefordert worden zu sein, Leute zu transportieren. Dies habe er verweigert. Weitere Aufforderungen seien am 3. August 2015 und am 8. August 2015 ergangen (SEM-Akten, A3/10 S. 6). In der Anhörung bringt er vor, sein Lieferwagen sei erstmals am 1. August 2015 von der Partei reserviert worden und er habe die Reservation entgegengenommen. Weitere Anfragen erwähnt er nicht. Er sei am 8. Augst 2015 nochmals angerufen worden, wobei sich die zuständige Person beklagt habe, warum er an diesem Tag nicht vorbeigekommen sei und für sie gearbeitet habe (SEM-Akten, A12/15 F43 ff.). Er terminiert den Beginn der Ereignisse somit auf einen anderen Tag als in der BzP und erwähnt andere Telefonate. Zudem widerspricht er sich hinsichtlich der Frage, welche Aufträge er angenommen und ausgeführt habe und welche nicht. Diese Widersprüche erklärt er einzig damit, dass die beiden Befragungen lange Zeit auseinandergelegen hätten. Anlässlich der Anhörung hätte er jedoch die Möglichkeit gehabt, zu sagen, dass er sich nicht mehr genau erinnere oder die genauen Daten nicht mehr wisse, was er nicht getan hat. Stattdessen hat er mehrere sich widersprechende Angaben gemacht und genaue Daten genannt. Seine Ausführungen sind deshalb als unglaubhaft zu erachten. Dass er am 9. August 2015 zufällig an Anhängern der TMVP vorbeifährt und von diesen angehalten wird, erscheint ebenfalls nicht nachvollziehbar. Aus dem Vorbringen, er sei Sympathisant der TNA, kann er keine individuelle Verfolgung ableiten. Schliesslich muss darauf hingewiesen werden, dass seine Ausführungen über die ganze Anhörung hinweg gesehen oberflächlich und unsubstantiiert ausgefallen sind. So bringt er zu Beginn der Anhörung zur Sache in freier Rede lediglich vor, dass er in seiner Heimat bedroht worden sei (SEM-Akten, A12/15 F30). Auf Nachfrage hin gibt er zu Protokoll, dass die Drohungen von einer wichtigen Person der TMVP ausgesprochen worden seien (SEM-Akten, A12/15 F31). Auch auf weitergehende Fragen antwortet er grossmehrheitlich einsilbig (SEM-Akten, A12/15 F32 ff.). Realkennzeichen, welche auf tatsächlich Erlebtes hindeuten würden, finden sich in seinen Aussagen kaum. Bezüglich der im vorinstanzlichen Verfahren eingereichten Beweismittel ist auf die zutreffende Erwägung in der angefochtenen Verfügung zu verweisen. Diese vermögen, sofern sie überhaupt rechtserheblich sind, an der Unglaubhaftigkeit seiner Vorbringen nichts zu ändern. Gleiches gilt für die im Beschwerdeverfahren eingereichten Beweismittel. Dabei handelt es sich grossmehrheitlich um Dokumente, welche die allgemeine Lage in Sri Lanka und die politische Situation beschreiben. Daraus kann er keine individuelle Verfolgung ableiten und sie sind auch nicht geeignet, seine zahlreichen Widersprüche zu entkräften.</w:t>
      </w:r>
    </w:p>
    <w:p>
      <w:r>
        <w:rPr>
          <w:b/>
        </w:rPr>
        <w:t>E. 7.4</w:t>
      </w:r>
    </w:p>
    <w:p>
      <w:r>
        <w:t>Der Beschwerdeführer macht auf Beschwerdeebene erstmals subjektive Nachfluchtgründe geltend. Er habe im Oktober 2015 an einer Demonstration teilgenommen. Zu seinem Erstaunen sei er ein Jahr später auf dem offiziellen Flyer des Veranstalters abgebildet worden. Unverhofft sei er daher zu einem Unterstützer einer Organisation geworden, welche von der sri-lankischen Regierung auf der sogenannten Blacklist geführt werde. Durch seine einmalige Demonstrationsteilnahme hat sich der Beschwerdeführer jedoch nicht derart exponiert, dass er bei einer Rückkehr nach Sri Lanka Furcht vor einer asylrelevanten Verfolgung haben müsste. Auf dem Flyer ist der Beschwerdeführer zwar ersichtlich, jedoch in Mitten hunderter anderer Demonstranten und ohne Namensnennung. Schliesslich ist auch die zu erwartende Vorsprache des Beschwerdeführers auf dem srilankischen Generalkonsulat nicht geeignet, eine objektiv begründete Furcht vor asylrelevanter Verfolgung hervorzurufen.</w:t>
      </w:r>
    </w:p>
    <w:p>
      <w:r>
        <w:rPr>
          <w:b/>
        </w:rPr>
        <w:t>E. 7.5</w:t>
      </w:r>
    </w:p>
    <w:p>
      <w:r>
        <w:t>Das Bundesverwaltungsgericht hält im Urteil E-1866/2015 vom 15. Juli 2016 (als Referenzurteil publiziert) fest, bestimmte Risikofaktoren (Eintrag in die "Stop-List", Verbindung zu den LTTE [Liberation Tigers of Tamil Eelam]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Asylvorbringen des Beschwerdeführers unglaubhaft ausgefallen sind und sein exilpolitisches Wirken als äusserst niederschwellig bezeichnet werden muss, erfüllt er keine der oben erwähnten stark risikobegründenden Faktoren. Alleine aus der tamilischen Ethnie und der mehrjährigen Landesabwesenheit kann er keine Gefährdung ableiten. Die Beschwerde zeigt sodann nicht auf, inwiefern ihm persönlich im Falle einer Rückkehr ein ernsthafter Nachteil im Sinne von Art. 3 AsylG drohen könnte. Solches lässt sich auch nicht annehmen und ergibt sich auch nicht aus den auf Beschwerdeebene eingereichten Dokumenten, Berichten und Länderinformationen.</w:t>
      </w:r>
    </w:p>
    <w:p>
      <w:r>
        <w:rPr>
          <w:b/>
        </w:rPr>
        <w:t>E. 7.6</w:t>
      </w:r>
    </w:p>
    <w:p>
      <w:r>
        <w:t>Der Beschwerdeführer hat folglich nichts vorgebracht, das geeignet wäre, die Flüchtlingseigenschaft nachzuweisen oder zumindest glaubhaft zu machen. Die Vorinstanz hat sein Asylgesuch zu Recht abgewiesen.</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9.2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9.3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dem (...) in der Ostprovinz (zur Problematik Vanni-Gebiet und Zumutbarkeit der Wegweisung: BVGE 2011/24 E. 12-13). Es kann davon ausgegangen werden, dass er die Möglichkeit hat, sich in dieser Region erneut niederzulassen (zur Zumutbarkeit eines Wegweisungsvollzugs in die Ostprovinz: Urteil E-1866/2015 E. 13.4). Im Übrigen handelt es sich in der Person des Beschwerdeführers um einen jungen Mann mit Arbeitserfahrung als Chauffeur. Sodann hat er ein Beziehungsnetz beziehungsweise Familienangehörige in Sri Lanka. Der Beschwerdeführer macht auf Beschwerdeebene psychische Probleme geltend. Aus dem eingereichten Arztbericht geht hervor, dass er unter Anpassungsstörungen mit kurzer depressiver Reaktion bei negativem Asylentscheid leidet. Nach konstanter Rechtsprechung des Bundesverwaltungsgerichts kann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Existenz absolut notwendig ist, wobei Unzumutbarkeit jedenfalls noch nicht vorliegt, wenn im Heimatstaat eine nicht dem schweizerischen Standard entsprechende medizinische Behandlung möglich ist (vgl. BVGE 2009/2 E. 9.3.2). Bei der diagnostizierten Krankheit handelt es sich offensichtlich nicht um eine schwere Störung, welche bei einer Rückkehr zu einer raschen und lebensgefährdenden Beeinträchtigung des Gesundheitszustands des Beschwerdeführers führt. Sein eingeschränkter Gesundheitszustand hängt offensichtlich mit seiner unsicheren Aufenthaltssituation (negativer Asylentscheid) zusammen. Sollte sich sein Zustand mit einer Rückkehr in sein Heimatland nicht verbessern, ist dieser dort ohne weiteres therapierbar (vgl. Urteil des BVGer E-5751/2016 vom 14. November 2016 E. 9.3.2). Der Vollzug der Wegweisung ist zumutbar.</w:t>
      </w:r>
    </w:p>
    <w:p>
      <w:r>
        <w:rPr>
          <w:b/>
        </w:rPr>
        <w:t>E. 9.4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9.5</w:t>
      </w:r>
    </w:p>
    <w:p>
      <w:r>
        <w:t>Zusammenfassend hat die Vorinstanz den Vollzug der Wegweisung zutreffend als zulässig, zumutbar und möglich bezeichnet, womit die Anordnung einer vorläufigen Aufnahme ausser Betracht fällt (Art. 83 Abs. 1 AuG).</w:t>
      </w:r>
    </w:p>
    <w:p>
      <w:r>
        <w:rPr>
          <w:b/>
        </w:rPr>
        <w:t>E. 10</w:t>
      </w:r>
    </w:p>
    <w:p>
      <w:r>
        <w:t>Aus diesen Erwägungen ergibt sich, dass die angefochtene Verfügung Bundesrecht nicht verletzt und den rechtserheblichen Sachverhalt vollständig und richtig feststellt (Art. 106 Abs. 1 AsylG). Für eine Rückweisung der Sache an die Vorinstanz besteht nach dem Gesagten kein Anlass. Die Beschwerde ist abzuweisen.</w:t>
      </w:r>
    </w:p>
    <w:p>
      <w:r>
        <w:rPr>
          <w:b/>
        </w:rPr>
        <w:t>E. 11</w:t>
      </w:r>
    </w:p>
    <w:p>
      <w:r>
        <w:t>Bei diesem Ausgang des Verfahrens sind die Kosten von Fr. 750.- (Art. 1-3 des Reglements vom 21. Februar 2008 über die Kosten und Entschädigungen vor dem Bundesverwaltungsgericht [VGKE, SR 173.320.2]) dem Beschwerdeführer aufzuerlegen (Art. 63 Abs. 1 VwVG) und mit dem am 18. April 2017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