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E-1872/2018 vom 23. September 2020</w:t>
      </w:r>
    </w:p>
    <w:p>
      <w:r>
        <w:t>Bundesverwaltungsgericht, 2020-09-23, DE</w:t>
      </w:r>
    </w:p>
    <w:p>
      <w:r>
        <w:rPr>
          <w:b/>
        </w:rPr>
        <w:t xml:space="preserve">Quelle: </w:t>
      </w:r>
      <w:r>
        <w:t>https://mcp.opencaselaw.ch/entscheid/bvger_E-1872_2018</w:t>
      </w:r>
    </w:p>
    <w:p>
      <w:r>
        <w:t>FR: TAF E-1872/2018 du 23 septembre 2020</w:t>
      </w:r>
    </w:p>
    <w:p>
      <w:r>
        <w:t>IT: TAF E-1872/2018 del 23 settembre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(BVGE 2014/26 E. 5).</w:t>
      </w:r>
    </w:p>
    <w:p>
      <w:r>
        <w:rPr>
          <w:b/>
        </w:rPr>
        <w:t>E. 4</w:t>
      </w:r>
    </w:p>
    <w:p>
      <w:r>
        <w:t>Die Ehefrau des Beschwerdeführers macht eine Reflexverfolgung aufgrund des Beschwerdeführers geltend. Zugleich führt sie frauenspezifische Vorbringen an. Das Bundesverwaltungsgericht verzichtet daher auf eine Vereinigung der beiden Beschwerdeverfahren. Das vorliegende Verfahren und das Verfahren der Ehefrau E-5092/2019 wurden koordiniert behandelt und unter Berücksichtigung der Familieneinheit beim Wegweisungsvollzug entschieden.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die Schussverletzung des Beschwerdeführers sei - im Gegensatz zur Folter - durch Fotos und eine Anzeige bei der Polizei gut belegt. Seine Erklärung, er habe auf die Anzeige der Folter verzichtet, um weiterer Probleme zu vermeiden und weil das CID es ihm verboten habe, sei unbehilflich. Auch auf dem Ausweis des UNICEF sei nur die Schussverletzung dokumentiert. Dem Vorbringen, seine Probleme würden unter anderem auf dem Heldentod seines Schwagers im Jahr 2000 beruhen, könne nicht gefolgt werden. Die Probleme mit dem CID hätten erst im Jahr 2006, ein Jahr nach der Hochzeit, begonnen. Zudem hätten seine Ehefrau und ihre Geschwister deswegen nie Probleme mit den Behörden gehabt. Es überzeuge nicht, dass er wegen der Leihgabe zweier Fahrzeuge an die LTTE einer mehrjährigen Unterschriftspflicht mit Befragung und Folter unterlegen habe und ständig gesucht worden sei. Vielmehr sei davon auszugehen, dass das CID oder die Polizei ab dem Jahr 2010 kein ernsthaftes Verfolgungsinteresse mehr an ihm gehabt und ihn nicht mehr gesucht habe. Eine asylrelevante Verfolgung durch die sri-lankischen Behörden im Zeitpunkt seiner Ausreise und danach sei daher unglaubhaft. Die Schussverletzung aus dem Jahr 2006 sei nicht als gezielte Verfolgung zu qualifizieren. Zudem stünden die Schussverletzung und die Unterschriftspflicht beim CID bis ins Jahr 2010 nicht in einem kausalen Zusammenhang mit der Ausreise im Jahr 2016. Diese Begebenheiten seien demnach nicht asylrelevant. Der Beschwerdeführer weise nur einige, schwach risikobegründende Faktoren (Herkunft aus dem Norden, illegale Ausreise, Alter und Narbe) auf, welche indes nicht zur Annahme führten, er sei bei einer Rückkehr mit beachtlicher Wahrscheinlichkeit künftigen asylrelevanten Verfolgungsmassnahmen ausgesetzt.</w:t>
      </w:r>
    </w:p>
    <w:p>
      <w:r>
        <w:rPr>
          <w:b/>
        </w:rPr>
        <w:t>E. 6.2</w:t>
      </w:r>
    </w:p>
    <w:p>
      <w:r>
        <w:t>Der Beschwerdeführer bringt vor, er habe keine Anzeige wegen der Folter gemacht, da er mit dem Tod bedroht worden sei und eine Anzeige gegen Unbekannt (wie bei der Schussverletzung) nicht möglich gewesen sei. Er hätte angegeben müssen, bei der Unterschriftsleistung gefoltert worden zu sein, was sehr gefährlich gewesen wäre. Die Verwandtschaft mit dem Schwager habe lediglich insoweit eine Rolle gespielt, als die LTTE ihn dadurch für vertrauenswürdig gehalten und von ihm das Tuk-Tuk ausgeliehen hätten. Seine Verfolgung basiere alleine auf seiner Unterstützungsleistung für die LTTE und den Verdacht, er kenne Waffenverstecke der LTTE. Insbesondere der Verdacht betreffend Waffenverstecke habe zur Unterschriftspflicht geführt, da sich der sri-lankische Staat vor einem Wiedererstarken der LTTE fürchte. Aus der Lockerung der Unterschriftspflicht könne nicht gefolgert werden, er werde nicht mehr asylrelevant verfolgt. Er fürchte sich neu vor Kriminellen, die im Auftrag des Staates politisch motivierte Tötungen oder Einschüchterungen durchführten. Dass der Staat nach seiner Ausreise die Suche nach ihm intensiviert habe, sei ein Indiz dafür, dass er immer noch gesucht werde. Der Kausalzusammenhang zwischen seiner Verfolgung und der Ausreise sei gegeben. Die Überwachungssituation habe sich nur äusserlich geändert (keine Unterschriftspflicht mehr). Inhaltlich sei sie durch andere Kontrollmechanismen wie die regelmässige Kontrolle der Zu- und Wegzüge beim Dorfvorsteher bestehen geblieben. Zudem sei sein Dossier im Hauptbüro hinterlegt gewesen, weshalb er sich nicht habe frei bewegen können. Im Zeitpunkt der Ausreise habe er daher immer noch unter enger Kontrolle des Staates gestanden. Er erfülle mehrere Risikofaktoren. Er habe einer Unterschriftspflicht unterstanden, weise sichtbare Narben an Hand, Schulter, Bein und Hinterkopf auf und sein Dossier sei beim Hauptcamp in E._______ hinterlegt. Zudem bestehe eine Verwandtschaft zu einer Heldenfamilie. Deshalb sei er mit hoher Wahrscheinlichkeit auf einer "Stop-List" oder zumindest "Watch-List" aufgeführt. Bei einer Rückschaffung hätte er mit einer Verhaftung und Verhören zu rechnen. Sri Lanka sei derzeit nicht in der Lage oder willens, Tamilen in seiner Lage zu schützen. Das politische Klima in Sri Lanka habe sich in jüngster Zeit verschlechtert. Insbesondere die innerstaatlichen Spannungen zwischen Muslimen und Buddhisten hätten sich verschärft. Es dränge sich die Erteilung einer vorläufigen Aufnahme auf. In der Schweiz nehme er regelmässig an den Festlichkeiten des Märtyrertages teil. Es gebe einen Youtube-Film, auf dem er zu erkennen sei.</w:t>
      </w:r>
    </w:p>
    <w:p>
      <w:r>
        <w:rPr>
          <w:b/>
        </w:rPr>
        <w:t>E. 6.3</w:t>
      </w:r>
    </w:p>
    <w:p>
      <w:r>
        <w:t>Die Vorinstanz führt in der Vernehmlassung aus, die Risikofaktoren seien nicht erfüllt. Der Beschwerdeführer habe kein Verfolgungsinteresse seitens der Behörden darlegen können. Wäre er tatsächlich verdächtigt worden, eine ernsthafte Gefahr für die Sicherheit des sri-lankischen Staates darzustellen, wäre er zu einem früheren Zeitpunkt inhaftiert worden.</w:t>
      </w:r>
    </w:p>
    <w:p>
      <w:r>
        <w:rPr>
          <w:b/>
        </w:rPr>
        <w:t>E. 7.1</w:t>
      </w:r>
    </w:p>
    <w:p>
      <w:r>
        <w:t>Die Vorinstanz hielt die Schilderung des Beschwerdeführers, er habe im Jahr 2006 eine Schussverletzung erlitten und bis zum Jahr 2010 einer Unterschriftspflicht unterlegen, für glaubhaft. Die Folter, die Probleme wegen des Schwagers sowie die Suche nach ihm nach dem Jahr 2010 stufte sie hingegen als unglaubhaft ein. Für die Glaubhaftigkeit der Folter spricht, dass der Beschwerdeführer die Folter in den Grundzügen beschreiben konnte und er Narben aufweist, die von Folter stammen könnten. Dass er aus Angst vor Repressalien keine Anzeige gegen das CID wegen der Folter erstattete, erscheint plausibel. Es gibt aber auch Zweifel an der Glaubhaftigkeit. So erklärte der Beschwerdeführer, er sei nicht wegen seiner Verwandtschaft mit dem Schwager verfolgt worden, sondern einzig, weil er den LTTE sein Tuk-Tuk ausgeliehen habe. Es ist schwer nachvollziehbar, dass der Beschwerdeführer wegen diesem marginalen Beitrag für die LTTE tatsächlich der geschilderten Folter ausgesetzt gewesen sein soll. Die Frage der Glaubhaftigkeit der Folter kann indes aufgrund der Ausführungen zur Asylrelevanz offenbleiben. Das Vorbringen des Beschwerdeführers, er sei bis zu seiner Ausreise gesucht worden, befand die Vorinstanz zu Recht für unglaubhaft. Der Beschwerdeführer gab mehrfach an, seit der Lockerung seiner Unterschriftspflicht Ende 2010 habe er sich nicht mehr im Camp gemeldet. Sein letzter Kontakt mit dem CID sei im Jahr 2010 gewesen. Seit diesem Zeitpunkt lebte er zuerst noch über ein Jahr weiterhin mit seiner Familie in C._______. Im Jahr 2012 zog er zu seiner Familie nach B._______, wo er bereits in den Jahren vor 2006 gewohnt hatte. Bis zu seiner Ausreise im Jahr 2016, mithin sechs Jahre nach seinem letzten Treffen mit dem CID, wurden weder er noch seine Familie oder Verwandtschaft durch die sri-lankischen Behörden aufgesucht oder sonst wie behelligt. Hätten die sri-lankischen Behörden weiterhin ein Interesse an ihm gehabt, so wäre zu erwarten gewesen, dass sie ihn in C._______ oder am Wohnort seiner Eltern, welches ihnen bekannt gewesen sein dürfte, aufgesucht hätten. Dass dies nicht geschah, legt nahe, dass die Behörden keinerlei Interesse mehr am Beschwerdeführer gehabt haben und seine Unterschriftspflicht im Jahr 2010 aufgehoben worden ist. In der Beschwerdeschrift führt er denn auch selbst aus, die Unterschriftspflicht sei im Jahr 2010 entfallen. Stattdessen habe es andere Kontrollmechanismen, wie die Kontrolle der Zu- und Wegzüge beim Dorfvorsteher, gegeben. Auch diese angeblichen Kontrollmechanismen hatten offensichtlich keinen Auswirkungen für den Beschwerdeführer. So konnte er im Jahr 2010 ungehindert seinen Wohnort zu seinen Eltern verlegen und dort bis zur Ausreise unbehelligt leben. Der Beschwerdeführer konnte demnach nicht glaubhaft dartun, nach dem Jahr 2010 von den sri-lankischen Behörden gesucht worden zu sein. Folglich ist auch die behördliche Suche nach ihm bei der Ehefrau und den Eltern nach seiner Ausreise als unglaubhaft zu qualifizieren. Im Schreiben vom 4. September 2020 machte der Beschwerdeführer wiederum geltend, das CID habe ihn zu Hause gesucht und den Dorfvorsteher darüber informiert, dass er sich bei einer Rückkehr beim CID melden müsse. Nachdem die frühere behördliche Suche nach ihm für unglaubhaft befunden worden ist, gibt es keinen Grund, die nicht weiter belegte behördliche Suche nach ihm im Jahr 2020, also rund zehn Jahre nach Ende der Unterschriftspflicht, für glaubhaft zu erachten. Der Beschwerdeführer erlitt im Jahr 2006 eine Schussverletzung. Vom Jahr 2006 bis zum Jahr 2010 unterlag er einer Unterschriftspflicht. Er wurde auch befragt und angeblich gefoltert. Die Unterschriftspflicht endete im Jahr 2010. Im gleichen Jahr hatte er den letzten Kontakt mit dem CID. Bis zur Ausreise im Jahr 2016 ist nichts mehr vorgefallen. Zwischen den Vorfällen bis zum Jahr 2010 und der Ausreise im Jahr 2016 fehlt es am zeitlichen Kausalzusammenhang. Hinsichtlich der Schussverletzung dürfte zudem das Erfordernis der Gezieltheit des erlittenen Nachteils nicht erfüllt sein. Der Beschwerdeführer hielt sich kurz vor Ausgangssperre mit zwei weiteren Personen im Freien auf. Aus seinen Schilderungen geht nicht hervor, dass sich der Schuss gezielt gegen ihn gerichtet hat. Die erlittenen Nachteile sind somit nicht asylrelevant.</w:t>
      </w:r>
    </w:p>
    <w:p>
      <w:r>
        <w:rPr>
          <w:b/>
        </w:rPr>
        <w:t>E. 7.2</w:t>
      </w:r>
    </w:p>
    <w:p>
      <w:r>
        <w:t>An dieser Einschätzung ändern weder der Regierungswechsel vom 16. November 2019 noch die kürzlich erfolgte Verhaftung einer sri-lankischen Mitarbeiterin der Schweizerischen Botschaft in Colombo etwas, da diesbezüglich kein individueller Bezug zum Beschwerdeführer ersichtlich ist. Hinsichtlich des Machtwechsels vom 16. November 2019 gilt festzuhalten: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17.09.2020). Er war unter seinem älteren Bruder, dem ehemaligen Präsidenten Mahinda Rajapaksa, der von 2005 bis 2015 an der Macht war, Verteidigungssekretär und wurde angeklagt, zahlreiche Verbrechen gegen Journalisten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https://www.aninews.in/news/world/asia/sri-lanka-35-including-presidents-brother-chamal-rajapksa-sworn-in-as-ministers-of-tate20191127174753/, abgerufen am 17.09.2020).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Der Beschwerdeführer war in Sri Lanka keiner asylrelevanten Verfolgung ausgesetzt. Auch unter Berücksichtigung des aktuellen politischen Kontextes in Sri Lanka lässt sich nicht ableiten, er hätte künftig mit einer asylrelevanten Verfolgung zu rechnen.</w:t>
      </w:r>
    </w:p>
    <w:p>
      <w:r>
        <w:rPr>
          <w:b/>
        </w:rPr>
        <w:t>E. 7.3</w:t>
      </w:r>
    </w:p>
    <w:p>
      <w:r>
        <w:t>Der Beschwerdeführer macht in der Beschwerdeschrift erstmals geltend, er nehme in der Schweiz regelmässig an den Festlichkeiten des Märtyrertages teil. Es gebe einen Youtube-Film, auf dem er zu erkennen sei. Mit Schreiben vom 4. September 2020 gab er zudem an, in Genf an einer regierungskritischen Demonstration teilgenommen zu haben. Als Beleg reichte er einen Bericht der sri-lankischen Bauernzeitung "F._______" vom 26. September 2016 ein, in welchem er abgebildet ist.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Der Beschwerdeführer reichte keine Belege für seine angeblichen Teilnahmen an dem Märtyrertag ein. Auf dem eingereichten Internetartikel ist der Beschwerdeführer zwar abgebildet, aber ohne Namen. Zudem ist er ein Teilnehmer unter vielen, der nicht hervorsticht. So trägt er auch keine Fahnen oder Schals der LTTE, wie dies bei anderen Teilnehmern der Fall ist. Es ist daher von einem derart unterschwelligen exilpolitischen Engagement auszugehen, dass nicht anzunehmen ist, die sri-lankischen Behörden hätten davon Kenntnis erhalten. Die Flüchtlingseigenschaft des Beschwerdeführers ist somit unter dem Aspekt der subjektiven Nachfluchtgründe gemäss Art. 54 AsylG zu verneinen.</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8.2</w:t>
      </w:r>
    </w:p>
    <w:p>
      <w:r>
        <w:t>Der Beschwerdeführer war nie Mitglied der LTTE. Er hat lediglich sechs Monate lang sein Motorrad und das gemietete Tuk-Tuk den LTTE für Transporte zur Verfügung gestellt. Deswegen unterlag er einer Unterschriftspflicht, welche jedoch im Jahr 2010 endete (vgl. E. 7.1). Sein Schwager war zwar ranghohes Mitglied bei den LTTE, er wurde aber bereits im Jahr 2000, also fünf Jahre vor der Heirat des Beschwerdeführers und seiner Ehefrau, getötet. Zudem bekamen nach Angaben des Beschwerdeführers weder er noch seine Ehefrau und ihre Familien deswegen Probleme mit den Behörden. Seine Ehefrau erlitt keine asylrelevante Verfolgung. Des Weiteren wurde der Beschwerdeführer weder verhaftet noch einer Straftat angeklagt oder gar verurteilt und verfügt somit auch nicht über einen Strafeintrag. Seine exilpolitische Tätigkeit ist als äusserst niederschwellig einzustufen. Er weist mehrere Narben auf. Die Narben sind indes nicht ohne Weiteres sichtbar. Aus der tamilischen Ethnie, den Narben und der mittlerweile gut vierjährigen Landesabwesenheit kann er keine Gefährdung ableiten, zumal er die sechs Jahre vor seiner Ausreise unbehelligt in Sri Lanka leben konnte. Dass er in einer "Stop List" aufgeführt sein soll, ist aufgrund des Gesagten unwahrscheinlich. Zudem ist festzuhalten, dass eine allfällige Befragung am Flughafen in Colombo und Kontrollmassnahmen an seinem Heimatort keine asylrelevanten Verfolgungsmassnahmen darstellen (Urteil des BVGer D-5158/2018 vom 2. September 2019 E. 8.3).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8.3</w:t>
      </w:r>
    </w:p>
    <w:p>
      <w:r>
        <w:t>Zusammenfassend hat der Beschwerdeführer nichts vorgebracht, was geeignet wäre, seine Flüchtlingseigenschaft nachzuweisen oder zumindest glaubhaft zu machen. Die Vorinstanz hat sein Asylgesuch zu Recht abgelehnt.</w:t>
      </w:r>
    </w:p>
    <w:p>
      <w:r>
        <w:rPr>
          <w:b/>
        </w:rPr>
        <w:t>E. 9</w:t>
      </w:r>
    </w:p>
    <w:p>
      <w:r>
        <w:t>Gemäss Art. 44 AsylG verfügt das SEM in der Regel die Wegweisung aus der Schweiz, wenn es das Asylgesuch ablehnt oder nicht darauf eintritt. Der Beschwerdeführer und seine Ehefrau verfügen weder über eine ausländerrechtliche Aufenthaltsbewilligung noch über einen Anspruch auf Erteilung einer solchen (Art. 32 Abs. 1 AsylV 1, SR 142.31). Die Wegweisung wurde zu Recht angeordnet.</w:t>
      </w:r>
    </w:p>
    <w:p>
      <w:r>
        <w:rPr>
          <w:b/>
        </w:rPr>
        <w:t>E. 10.1</w:t>
      </w:r>
    </w:p>
    <w:p>
      <w:r>
        <w:t>Ist der Vollzug der Wegweisung nicht zulässig, nicht zumutbar oder nicht möglich, so regelt die Vorinstanz das Anwesenheitsverhältnis nach den gesetzlichen Bestimmungen über die vorläufige Aufnahme (Art. 44 AsylG; Art. 83 Abs. 1 AIG).</w:t>
      </w:r>
    </w:p>
    <w:p>
      <w:r>
        <w:rPr>
          <w:b/>
        </w:rPr>
        <w:t>E. 10.2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8.1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7 und 8.2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10.3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Referenzurteil D-3619/2016 vom 16. Oktober 2017 E. 9.5 erachtet das Bundesverwaltungsgericht auch den Wegweisungsvollzug ins Vanni-Gebiet als zumutbar. An dieser Einschätzung vermögen die Gewaltvorfälle in Sri Lanka vom 21. April 2019, der gleichentags von der sri-lankischen Regierung verhängte Ausnahmezustand, der am 28. August 2019 wieder aufgehoben wurde, und die mit den Wahlen im November 2019 zusammenhängenden gewalttätigen Ausschreitungen nichts zu ändern. Der Beschwerdeführer und seine Ehefrau sind gesund. Er lebte bis ins Jahr 2010 mit seiner Familie in C._______, Nordprovinz. Danach wohnte er bei seinen Eltern in B._______, Distrikt G._______, Nordprovinz. Er verfügt über eine gute Schulbildung und arbeitete vor seinem Umzug zu den Eltern als Tuk-Tuk-Fahrer. Seine Ehefrau ging zwölf Jahre zur Schule und machte den A-Level-Abschluss. Sie wohnte in einem eigenen Haus in H._______. Es ist anzunehmen, dass der Beschwerdeführer nach seiner Rückkehr seine Tätigkeit als Tuk-Tuk-Fahrer wieder aufnehmen und mit seiner Familie im Haus seiner Ehefrau leben kann. Zudem verfügen der Beschwerdeführer und seine Ehefrau mit seinen Eltern und seinen Geschwistern sowie ihrer Mutter und ihren Brüdern über ein tragfähiges familiäres Beziehungsnetz in Sri Lanka, das in der Lage sein sollte, sie bei der Wiedereingliederung zu unterstützen. Im Schreiben vom 4. September 2020 brachte der Beschwerdeführer erstmals vor, in psychiatrischer Behandlung zu sein, ohne dafür einen Beleg einzureichen. Es kann daher nicht von einem Vollzugshindernis ausgegangen werden. Gemäss Arztbericht wurde beim älteren Kind Asthma bronchiale diagnostiziert. Der Krankheitsverlauf ist aber unauffällig. Sollte das Kind nach der Rückkehr dennoch eine medizinische Behandlung benötigen, so ist diese in Sri Lanka gewährleistet. Die minderjährigen Kinder mit den Jahrgängen (...) und (...) sind aufgrund ihres Alters und der kurzen Anwesenheitsdauer noch nicht in der Schweiz verwurzelt; ihre Eltern stellen ihre wichtigsten Bezugspersonen dar. Das Wohl der Kinder steht einem Wegweisungsvollzug nicht entgegen (vgl. Art. 3 des Übereinkommens über die Rechte des Kindes [KRK, SR 0.107]).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ebenso wie der Familieneinheit, durch die kantonalen Behörden Rechnung zu tragen ist, indem etwa der Zeitpunkt des Vollzugs der Situation im Heimatland angepasst wird. Der Vollzug erweist sich deshalb für den Beschwerdeführer und seine Familie auch in individueller Hinsicht als zumutbar.</w:t>
      </w:r>
    </w:p>
    <w:p>
      <w:r>
        <w:rPr>
          <w:b/>
        </w:rPr>
        <w:t>E. 10.4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10.5</w:t>
      </w:r>
    </w:p>
    <w:p>
      <w:r>
        <w:t>Die Vorinstanz hat somit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12.1</w:t>
      </w:r>
    </w:p>
    <w:p>
      <w:r>
        <w:t>Bei diesem Ausgang des Verfahrens wären die Kosten dem Beschwerdeführer aufzuerlegen (Art. 63 Abs. 1 VwVG; Art. 1-3 des Reglements vom 21. Februar 2008 über die Kosten und Entschädigungen vor dem Bundesverwaltungsgericht [VGKE, SR 173.320.2]). Mit Zwischenverfügung vom 11. April 2018 wurden die Gesuche um Gewährung der unentgeltlichen Prozessführung und Beiordnung einer amtlichen Rechtsbeiständin gutgeheissen. Es sind somit keine Verfahrenskosten zu erheben.</w:t>
      </w:r>
    </w:p>
    <w:p>
      <w:r>
        <w:rPr>
          <w:b/>
        </w:rPr>
        <w:t>E. 12.2</w:t>
      </w:r>
    </w:p>
    <w:p>
      <w:r>
        <w:t>Die amtliche Rechtsbeiständin des Beschwerdeführers reichte eine Honorarnote in der Höhe von Fr. 2'185.50 (inkl. Auslagen). Dieser Betrag erscheint angemessen und ist MLaw Cora Dubach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