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E-1870/2017 vom 27. März 2019</w:t>
      </w:r>
    </w:p>
    <w:p>
      <w:r>
        <w:t>Bundesverwaltungsgericht, 2019-03-27, FR</w:t>
      </w:r>
    </w:p>
    <w:p>
      <w:r>
        <w:rPr>
          <w:b/>
        </w:rPr>
        <w:t xml:space="preserve">Quelle: </w:t>
      </w:r>
      <w:r>
        <w:t>https://mcp.opencaselaw.ch/entscheid/bvger_E-1870_2017</w:t>
      </w:r>
    </w:p>
    <w:p>
      <w:r>
        <w:t>FR: TAF E-1870/2017 du 27 mars 2019</w:t>
      </w:r>
    </w:p>
    <w:p>
      <w:r>
        <w:t>IT: TAF E-1870/2017 del 27 marzo 2019</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1.3</w:t>
      </w:r>
    </w:p>
    <w:p>
      <w:r>
        <w:t>La présente procédure est soumise à l'ancien droit (cf. Dispositions transitoires de la modification du 25 septembre 2015, al. 1).</w:t>
      </w:r>
    </w:p>
    <w:p>
      <w:r>
        <w:rPr>
          <w:b/>
        </w:rPr>
        <w:t>E. 1.4</w:t>
      </w:r>
    </w:p>
    <w:p>
      <w:r>
        <w:t>Le recourant a qualité pour recourir (cf. art. 48 PA, applicable par renvoi de l'art. 37 LTAF). Présenté dans la forme (cf. art. 52 PA par renvoi de l'art. 6 LAsi) et dans le délai (ancien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l'intéressé avait la possibilité de se soustraire aux persécutions dont il se prévalait en s'installant en F._______, l'Etat dont son épouse est ressortissante. Aussi ses motifs d'asile n'étaient-ils pas pertinents au sens de l'art. 3 LAsi.</w:t>
      </w:r>
    </w:p>
    <w:p>
      <w:r>
        <w:rPr>
          <w:b/>
        </w:rPr>
        <w:t>E. 3.2</w:t>
      </w:r>
    </w:p>
    <w:p>
      <w:r>
        <w:t>Selon la définition du terme réfugié donnée à l'art. 3 al. 1 LAsi (ci-dessus, consid. 2.1), seuls revêtent cette qualité les étrangers qui sont persécutés dans leur pays d'origine ou - en ce qui concerne les apatrides - dans le pays de leur dernière résidence (arrêt du Tribunal D-1929/2014 du 15 décembre 2016 consid. 4.1 et les références citées).</w:t>
      </w:r>
    </w:p>
    <w:p>
      <w:r>
        <w:rPr>
          <w:b/>
        </w:rPr>
        <w:t>E. 3.3</w:t>
      </w:r>
    </w:p>
    <w:p>
      <w:r>
        <w:t>En l'espèce, le SEM ayant retenu que A._______ était ressortissant érythréen, sa demande d'asile doit en conséquence être examinée à l'aune des persécutions qu'il allègue avoir subies dans son pays, et non pas au regard de la protection qu'il peut attendre d'un Etat tiers, en l'occurrence celui de son épouse.</w:t>
      </w:r>
    </w:p>
    <w:p>
      <w:r>
        <w:rPr>
          <w:b/>
        </w:rPr>
        <w:t>E. 3.4</w:t>
      </w:r>
    </w:p>
    <w:p>
      <w:r>
        <w:t>Il ressort de la carte militaire produite par le recourant à son audition sur ses motifs d'asile que le service national qu'il a accompli du (...) février (...) au (...) juillet (...) a duré (...) mois, ce qui correspond plus ou moins à ses déclarations, sur ce point. Toutefois, à cette même audition, l'intéressé a aussi déclaré qu'il avait été libéré de son service national le (...) janvier (...) avant d'être rappelé à l'armée huit mois plus tard. Parlant de sa convocation au service national, il a affirmé qu'il avait dû s'y rendre le (...) janvier (...), décrivant abondamment les circonstances de son entrée en service. Rendu attentif au fait que ses déclarations ne correspondaient pas à ce qui figurait sur sa carte militaire, il a imputé ces divergences à ses difficultés à se souvenir des dates. De fait, d'éventuels lapsus de sa part ne sont pas à exclure, notamment en ce qui concerne la date de son entrée en service. Pour autant, et cela même si le SEM ne l'a pas contesté, il n'est pas interdit de penser que la carte militaire fournie en cours de procédure ne soit pas la sienne et qu'il n'en a pas bien retenu les indications qui y figurent. Quoi qu'il en soit, les doutes qui peuvent subsister à ce sujet ne suffisent pas à eux seuls pour considérer ses déclarations comme invraisemblables. A son audition, sur ses données personnelles, le 3 septembre 2015, l'intéressé a également affirmé que son épouse et leurs enfants se trouvaient en F._______ depuis (...) ans. Il a ajouté que lui-même avait fui l'Erythrée à la fin de l'année (...). Parti de G._______, il serait d'abord allé à Tesseney puis directement au Soudan. A son audition principale, il a par contre déclaré que son épouse avait quitté l'Erythrée après que lui-même en est parti, vers juin (...). Invité à s'expliquer sur cette nouvelle divergence, il a répondu, sans donner de raison, qu'il ne pouvait pas être parti à la fin de l'année (...), qu'il avait quitté son pays à la fin de l'année (...). Comme cette réponse ne correspondait pas à ce qu'il venait de déclarer, il a alors avancé que, peut-être, il avait fui l'Erythrée vers la fin de l'année (...) voire au début de l'année suivante, ajoutant que tout ce dont il se rappelait, c'est que son épouse était partie après lui. Ces tergiversations sur un point déterminant de son récit laissent penser que ni lui ni son épouse et leurs enfants n'ont, en définitive, quitté l'Erythrée dans les circonstances décrites. Même s'il remonte à trois, voire quatre ans et même si l'on a la mémoire défaillante, l'année, en tout cas, de sa désertion ne s'oublie pas, en particulier si l'on déserte l'armée érythréenne. Selon les déclarations mêmes de l'intéressé, son attachement à son épouse et à sa famille était si fort qu'il l'aurait amené plus d'une fois à abandonner son poste à l'armée pour les retrouver momentanément, quitte à se faire ensuite emprisonner pendant des mois. Aussi le Tribunal ne peut croire que l'intéressé ne sache pas précisément quand son épouse, qui le lui a dit, et leurs enfants ont quitté l'Erythrée, s'ils ont dû effectivement en partir à cause de lui, et, par voie de conséquence, quand lui-même en était parti. Enfin le recourant explique les itinéraires différents qu'il a donnés de sa fuite au Soudan, à ses auditions, par le fait qu'ayant d'abord été affecté à G._______, il avait ensuite été muté avec sa brigade à L._______ d'où il s'était enfui à M._______, au Soudan. Cette justification ne convainc pas, d'abord parce qu'à son audition sur ses données personnelles, l'intéressé a, sans ambages, déclaré s'être rendu de G._______ au Soudan, via Tesseney et non pas via Tesseney et L._______, ensuite parce qu'en disant, plus tard, être parti au Soudan de L._______, c'est donc là qu'il a déserté et non pas à G._______. Dès lors, il aurait effectivement été affecté dans cette localité avant d'être dépêché à L._______ que la mention de G._______, dans son itinéraire de fuite, aurait été superflue voire illogique. Enfin, de L._______, il serait allé directement à M._______, au Soudan, sans passer par Tesseney. Dans ces conditions, et quoi qu'en dise le recourant, les itinéraires décrits ne correspondent pas. Compte tenu de ce qui précède, le Tribunal ne saurait en définitive admettre que l'intéressé a déserté dans les circonstances décrites ni qu'il a failli, avant son départ, à son obligation d'effectuer le service national.</w:t>
      </w:r>
    </w:p>
    <w:p>
      <w:r>
        <w:rPr>
          <w:b/>
        </w:rPr>
        <w:t>E. 4</w:t>
      </w:r>
    </w:p>
    <w:p>
      <w:r>
        <w:t>Il reste à examiner si le recourant doit se voir reconnaître la qualité de réfugié, à l'exclusion de l'asile, en raison de son éventuel départ illégal (cf. art 54 LAsi). Dans son arrêt D-7898/2015 du 30 janvier 2017, publié comme arrêt de référence, le Tribunal a examiné dans quelle mesure les Erythréens qui ont quitté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5</w:t>
      </w:r>
    </w:p>
    <w:p>
      <w:r>
        <w:t>Il s'ensuit que le recours, en tant qu'il porte sur la reconnaissance de la qualité de réfugié et l'octroi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 2012/31 consid. 7.2.2 ; 2011/24 consid. 10.4.1)</w:t>
      </w:r>
    </w:p>
    <w:p>
      <w:r>
        <w:rPr>
          <w:b/>
        </w:rPr>
        <w:t>E. 8.5</w:t>
      </w:r>
    </w:p>
    <w:p>
      <w:r>
        <w:t>Dans son arrêt de principe E-5022/2017 du 10 juillet 2018 (prévu à publication), le Tribunal s'est penché sur la question de la licéité de l'exécution du renvoi en Erythrée sans recours à des moyens de contrainte, s'il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8.6</w:t>
      </w:r>
    </w:p>
    <w:p>
      <w:r>
        <w:t>Partant de ce tableau, et se basant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par. 2 CEDH (interdiction du travail forcé ou obligatoire) ne peut ainsi être retenue (consid. 6.1.5) ; il en va de même du risque d'être soumis à un traitement inhumain ou dégradant au sens de l'art. 3 CEDH (consid. 6.1.6).</w:t>
      </w:r>
    </w:p>
    <w:p>
      <w:r>
        <w:rPr>
          <w:b/>
        </w:rPr>
        <w:t>E. 8.7</w:t>
      </w:r>
    </w:p>
    <w:p>
      <w:r>
        <w:t>En conclusion, le risque d'être convoqué par l'autorité militaire et d'être tenu d'accomplir le service national n'est pas, en soi, de nature à rendre illicite l'exécution du renvoi en Erythrée, en cas de retour volontaire. En l'espèce, le recourant, qui n'a pas rendu vraisemblable la désertion alléguée à l'appui de sa demande d'asile, n'a pas non plus établi la forte probabilité d'un risque de traitement contraire au droit international s'il venait à être convoqué au service national à son retour en Erythrée.</w:t>
      </w:r>
    </w:p>
    <w:p>
      <w:r>
        <w:rPr>
          <w:b/>
        </w:rPr>
        <w:t>E. 8.8</w:t>
      </w:r>
    </w:p>
    <w:p>
      <w:r>
        <w:t>Dès lors, l'exécution du renvoi sous forme de refoulement sur une base volontaire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Par ailleurs, le 9 juillet 2018, un accord de paix a été signé avec F._______,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qu'il y soit physiquement apte, ne peut pas être considéré en soi comme un obstacle à l'exécution du renvoi au sens de l'art. 83 al. 4 LEI (arrêt E-5022/2017 précité, consid. 6.2).</w:t>
      </w:r>
    </w:p>
    <w:p>
      <w:r>
        <w:rPr>
          <w:b/>
        </w:rPr>
        <w:t>E. 9.3</w:t>
      </w:r>
    </w:p>
    <w:p>
      <w:r>
        <w:t>En outre, il ne ressort du dossier aucun élément dont on pourrait inférer une mise en danger concrète du recourant en cas de renvoi dans son pays. A cet égard, l'autorité de céans ne peut qu'abonder dans le sens du SEM en ce qui concerne les compétences de l'intéressé, son aptitude à travailler pour subvenir à ses besoins et à ceux de sa famille, le soutien qu'il peut attendre de son réseau familial en Erythrée, s'il en avait besoin, et sa santé au sujet de laquelle l'intéressé n'a pas allégué de problèmes particuliers. Au demeurant, celui-ci n'a contesté sous aucun aspect les constatations du SEM en ce qui concernait ses possibilités de rejoindre sa famille en F._______ et de s'y installer. Le Tribunal ne croit ainsi pas que les enfants de l'intéressé, qui auraient la nationalité (...), ne seraient pas autorisés à être scolarisés en F._______.</w:t>
      </w:r>
    </w:p>
    <w:p>
      <w:r>
        <w:rPr>
          <w:b/>
        </w:rPr>
        <w:t>E. 9.4</w:t>
      </w:r>
    </w:p>
    <w:p>
      <w:r>
        <w:t>Pour ces motifs, l'exécution du renvoi doit être considérée comme raisonnablement exigible.</w:t>
      </w:r>
    </w:p>
    <w:p>
      <w:r>
        <w:rPr>
          <w:b/>
        </w:rPr>
        <w:t>E. 10</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11.1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sa demande de dispense de paiement des frais de procédure a été admise et il n'y a pas de raison de penser qu'il n'est plus indigent. Il n'est, par conséquent, pas perçu de frais de procédure.</w:t>
      </w:r>
    </w:p>
    <w:p>
      <w:r>
        <w:rPr>
          <w:b/>
        </w:rPr>
        <w:t>E. 11.2</w:t>
      </w:r>
    </w:p>
    <w:p>
      <w:r>
        <w:t>Par décision incidente du 19 janvier 2017, Philippe Stern a été désigné mandataire d'office dans la présente procédure. Par conséquent, en l'absence d'un décompte de prestations, il y a lieu de lui accorder, à titre d'honoraires et de débours, une indemnité de 900 francs, tous frais et taxes compris (cf. art. 8 à 11 FITAF, applicables par analogie conformément à l'art. 12 FITAF), calculée sur la base du tarif horaire applicable aux représentants n'étant pas titulaire du brevet d'avocat (cf. art. 12 en rapport avec l'art. 10 al. 2 FITAF et décision incidente du 26 avril 2017).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