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E-186/2019 vom 1. Dezember 2020</w:t>
      </w:r>
    </w:p>
    <w:p>
      <w:r>
        <w:t>Bundesverwaltungsgericht, 2020-12-01, FR</w:t>
      </w:r>
    </w:p>
    <w:p>
      <w:r>
        <w:rPr>
          <w:b/>
        </w:rPr>
        <w:t xml:space="preserve">Quelle: </w:t>
      </w:r>
      <w:r>
        <w:t>https://mcp.opencaselaw.ch/entscheid/bvger_E-186_2019</w:t>
      </w:r>
    </w:p>
    <w:p>
      <w:r>
        <w:t>FR: TAF E-186/2019 du 1 décembre 2020</w:t>
      </w:r>
    </w:p>
    <w:p>
      <w:r>
        <w:t>IT: TAF E-186/2019 del 1 dicembre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Présenté dans la forme et dans les délais prescrits par la loi, le recours est recevable (art. 48 al. 1 ainsi que 52 al. 1 PA et anc. art. 108 al. 1 LAsi).</w:t>
      </w:r>
    </w:p>
    <w:p>
      <w:r>
        <w:rPr>
          <w:b/>
        </w:rPr>
        <w:t>E. 2</w:t>
      </w:r>
    </w:p>
    <w:p>
      <w:r>
        <w:t>Le recourant n'a pas recouru contre la décision du SEM en tant qu'elle rejette sa demande d'asile, ne reconnaît pas sa qualité de réfugié et prononce le renvoi (dans son principe), de sorte que, sous cet angle, elle a acquis force de chose décidée. Seule la question de l'exécution du renvoi est litigieuse.</w:t>
      </w:r>
    </w:p>
    <w:p>
      <w:r>
        <w:rPr>
          <w:b/>
        </w:rPr>
        <w:t>E. 3</w:t>
      </w:r>
    </w:p>
    <w:p>
      <w:r>
        <w:t>L'intéressé était mineur lors du dépôt de sa demande d'asile ; à la date du présent arrêt, il est cependant devenu majeur. Les modalités de l'exécution du renvoi seront en conséquence appréciées en fonction de cet état de fait, le Tribunal tranchant selon la situation prévalant au moment où il statue (cf. ATAF 2012/21 consid. 5). Il y a également lieu de constater que le recourant, entendu par le SEM en présence de sa tutrice, a pleinement bénéficié des garanties spéciales accordées aux requérants d'asile mineurs (art. 17 al. 3 LAsi et art. 7 de l'ordonnance 1 du 11 août 1999 sur l'asile [OA 1, RS 142.311]).</w:t>
      </w:r>
    </w:p>
    <w:p>
      <w:r>
        <w:rPr>
          <w:b/>
        </w:rPr>
        <w:t>E. 4.1</w:t>
      </w:r>
    </w:p>
    <w:p>
      <w:r>
        <w:t>L'exécution du renvoi est ordonnée si elle est licite, raisonnablement exigible et possible. Si l'une de ces conditions fait défaut,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Etant donné que la qualité de réfugié du recourant n'a pas été reconnue, l'exécution du renvoi ne contrevient pas au principe de non-refoulement consacré aux art. 5 LAsi et 33 Conv. torture.</w:t>
      </w:r>
    </w:p>
    <w:p>
      <w:r>
        <w:rPr>
          <w:b/>
        </w:rPr>
        <w:t>E. 5.3</w:t>
      </w:r>
    </w:p>
    <w:p>
      <w:r>
        <w:t>En ce qui concerne les autres engagements de la Suisse relevant du droit international, il sied d'examiner particulièrement si l'art. 3 CEDH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En l'occurrence, le Tribunal relève que le recourant n'a pas établi la haute probabilité d'un risque de cette nature. Il ne remet certes pas en cause la crédibilité du récit, les contradictions et incohérences qui l'affectent n'apparaissant pas décisives. La principale est celle que l'intéressé a commise dans la désignation du village où vivraient ses oncles maternels, et de celui où l'aurait emmené son oncle paternel, le nom indiqué étant F._______ ou C._______, selon les auditions. Toutefois, dans la mesure où l'audition au CEP a eu lieu très peu de temps après l'arrivée du requérant, alors âgé de 15 ans, et a été sommaire, cette confusion est excusable ; l'intéressé l'a d'ailleurs rectifiée lors de l'audition tenue par le SEM (cf. procès-verbal [p-v] de l'audition du 23 février 2018, questions 100 à 102). Il en va de même des confusions qui affectent la chronologie du récit, d'ailleurs de peu de portée ; en effet, que le recourant ait cessé l'école en 2013 pour s'occuper de sa mère, ou en 2014 à la suite du décès de celle-ci, ne change pas de manière fondamentale la présentation des faits de la cause, qui apparaît, de manière générale, claire et cohérente. Il en va de même du laps de temps (un jour ou une semaine) que l'intéressé aurait passé auprès de ses oncles maternels, avant que E._______ ne le ramène chez lui. Par ailleurs, le Tribunal ne considère pas, contrairement au SEM, que la description qu'a fournie l'intéressé des mauvais traitements infligés par son oncle paternel soit vague et peu détaillée ; il les a dépeints d'une manière suffisamment claire et précise, ce d'autant plus qu'il s'agissait d'événements douloureux (cf. p-v de l'audition du 23 février 2018, questions 76 à 85). La manière dont le recourant a décrit les travaux agricoles qu'il devait accomplir apparaît également claire, contrairement à ce que croit devoir relever l'autorité de première instance (cf. p-v de l'audition du 23 février 2018, questions 66 à 75).</w:t>
      </w:r>
    </w:p>
    <w:p>
      <w:r>
        <w:rPr>
          <w:b/>
        </w:rPr>
        <w:t>E. 5.6</w:t>
      </w:r>
    </w:p>
    <w:p>
      <w:r>
        <w:t>Cela étant, l'existence d'un danger menaçant le recourant en cas de retour en Guinée ne peut être retenue. En effet, il est clair que son oncle paternel n'est pas en mesure de s'en prendre à lui hors des limites de F._______, où il pourrait peut-être bénéficier de la tolérance des habitants et du chef du village ; il n'y a d'ailleurs aucune raison que E._______ soit informé de son retour. Le Tribunal relève en outre, à ce sujet, que l'intéressé prétend tout à fait gratuitement qu'il ne pourrait, dans une telle hypothèse, compter sur l'aide des autorités, dans la mesure où il n'a jamais tenté de la demander avant son départ de Guinée.</w:t>
      </w:r>
    </w:p>
    <w:p>
      <w:r>
        <w:rPr>
          <w:b/>
        </w:rPr>
        <w:t>E. 5.7</w:t>
      </w:r>
    </w:p>
    <w:p>
      <w:r>
        <w:t>La Guinée a été agitée par des troubles civils en 2017 et 2018, et la réélection pour un troisième mandat du président Alpha Condé, le 18 octobre 2020, a été contestée par ses opposants ; en conséquence, ont eu lieu des affrontements lors desquels plusieurs dizaines de personnes ont trouvé la mort (cf. Le Monde du 10 novembre 2020). Ceux-ci, maintenant apaisés, n'étaient toutefois pas à ce point sérieux qu'ils puissent faire admettre, à la date du présent arrêt, l'existence d'un danger concret menaçant chaque ressortissant guinéen appelé à regagner son pays.</w:t>
      </w:r>
    </w:p>
    <w:p>
      <w:r>
        <w:rPr>
          <w:b/>
        </w:rPr>
        <w:t>E. 5.8</w:t>
      </w:r>
    </w:p>
    <w:p>
      <w:r>
        <w:t>Dès lors, l'exécution du renvoi du recourant sous forme de refoulement ne transgresse aucun engagement de la Suisse relevant du droit international, de sorte qu'elle s'avère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6.2</w:t>
      </w:r>
    </w:p>
    <w:p>
      <w:r>
        <w:t>Il est notoire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6.3</w:t>
      </w:r>
    </w:p>
    <w:p>
      <w:r>
        <w:t>En outre, il ne ressort du dossier aucun élément dont on pourrait inférer que l'exécution du renvoi impliquerait une mise en danger concrète du recourant. A cet égard, le Tribunal relève qu'il est encore jeune et sans charge de famille, et que la formation professionnelle accomplie en Suisse est de nature à favoriser sa réinsertion. L'intéressé est maintenant majeur, si bien que la nécessité d'un soutien familial a aujourd'hui disparu. En conséquence, le fait que ses parents soient décédés, et ses oncles maternels pas en mesure de lui venir en aide n'est pas décisif.</w:t>
      </w:r>
    </w:p>
    <w:p>
      <w:r>
        <w:rPr>
          <w:b/>
        </w:rPr>
        <w:t>E. 6.4</w:t>
      </w:r>
    </w:p>
    <w:p>
      <w:r>
        <w:t>S'agissant de l'état de santé du recourant,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2009/2 consid. 9.3.2). En l'espèce, selon les rapports médicaux déposés en février et juin 2019, l'intéressé présentait les signes d'un PTSD, mais qui n'apparaît pas avoir nécessité de traitement. En juin 2019, la présence d'une tuberculose latente a été soupçonnée par les thérapeutes, et il a été décidé l'administration de K._______. Bien que la recherche de bacilles n'ait rien donné, selon un rapport de septembre 2019, le diagnostic de tuberculose active a été retenu. Enfin, en septembre 2019 également, a été décelée une parasitose, qui a motivé un traitement par M._______, pris en dose unique ; en conséquence, le traitement par K._______ mis sur pied, qui devait durer quatre mois, a été interrompu. Le traitement par L._______ et quadrithérapie N._______, qui devait reprendre ensuite, était appelé à prendre fin en mars 2020. Le Tribunal est dès lors fondé à conclure que l'intéressé ne souffre plus aujourd'hui de problèmes de santé particuliers ; le fait qu'il n'ait donné aucune suite à l'injonction de Tribunal du 28 août 2020, l'invitant à fournir des renseignements récents à cet égard, plaide dans le même sens.</w:t>
      </w:r>
    </w:p>
    <w:p>
      <w:r>
        <w:rPr>
          <w:b/>
        </w:rPr>
        <w:t>E. 6.5</w:t>
      </w:r>
    </w:p>
    <w:p>
      <w:r>
        <w:t>Pour ces motifs, l'exécution du renvoi doit être considérée comme raisonnablement exigible.</w:t>
      </w:r>
    </w:p>
    <w:p>
      <w:r>
        <w:rPr>
          <w:b/>
        </w:rPr>
        <w:t>E. 7</w:t>
      </w:r>
    </w:p>
    <w:p>
      <w:r>
        <w:t>Par ailleurs,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(voir notamment à ce sujet les arrêts du TAF E-6856/2017 du 6 avril 2020 consid. 9, D-5461/2019 du 26 mars 2020 p. 7, et D-1282/2020 du 25 mars 2020 consid. 5.5).</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En conséquence,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