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E-1863/2017 vom 24. August 2017</w:t>
      </w:r>
    </w:p>
    <w:p>
      <w:r>
        <w:t>Bundesverwaltungsgericht, 2017-08-24, DE</w:t>
      </w:r>
    </w:p>
    <w:p>
      <w:r>
        <w:rPr>
          <w:b/>
        </w:rPr>
        <w:t xml:space="preserve">Quelle: </w:t>
      </w:r>
      <w:r>
        <w:t>https://mcp.opencaselaw.ch/entscheid/bvger_E-1863_2017</w:t>
      </w:r>
    </w:p>
    <w:p>
      <w:r>
        <w:t>FR: TAF E-1863/2017 du 24 août 2017</w:t>
      </w:r>
    </w:p>
    <w:p>
      <w:r>
        <w:t>IT: TAF E-1863/2017 del 24 agosto 2017</w:t>
      </w:r>
    </w:p>
    <w:p>
      <w:pPr>
        <w:pStyle w:val="Heading2"/>
      </w:pPr>
      <w:r>
        <w:t>Regeste</w:t>
      </w:r>
    </w:p>
    <w:p>
      <w:r>
        <w:t>Asyl und Wegweisung</w:t>
      </w:r>
    </w:p>
    <w:p>
      <w:pPr>
        <w:pStyle w:val="Heading2"/>
      </w:pPr>
      <w:r>
        <w:t>Erwägungen</w:t>
      </w:r>
    </w:p>
    <w:p>
      <w:r>
        <w:rPr>
          <w:b/>
        </w:rPr>
        <w:t>E. 1.1</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enthält folgende Rügen: unvollständige Akteneinsicht, Nichtigkeit aufgrund einer Rechtsverweigerung, Verletzung des rechtlichen Gehörs, unvollständige und unrichtige Abklärung des rechtserheblichen Sachverhalts, Verletzung der Begründungspflicht sowie weitere Bundesrechtsverletzungen.</w:t>
      </w:r>
    </w:p>
    <w:p>
      <w:r>
        <w:rPr>
          <w:b/>
        </w:rPr>
        <w:t>E. 4.1</w:t>
      </w:r>
    </w:p>
    <w:p>
      <w:r>
        <w:t>Der Beschwerdeführer bringt vor, die Verfügung der Vorinstanz leide an einem schweren formellen Mangel, welcher die Verfügung nichtig mache. Die Verfügung verletze den zentralen Anspruch auf Rechtsgleichheit, da aus ihr nicht hervorgehe, welche Personen für den gefällten Entscheid zuständig gewesen seien. 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Häfelin/Müller/Uhlmann, Allgemeines Verwaltungsrecht, 7. Aufl., Zürich/St. Gallen 2016, Rz 979). Mit Schreiben vom 8. Mai 2017 wurde dem Beschwerdeführer der Name der für die angefochtene Verfügung zuständigen Fachspezialistin des SEM sowie der Name des Sektionschefs a.i. bekannt gegeben. Das Fehlen der Namen in der angefochtenen Verfügung selbst stellt keinen besonders schwerwiegenden Mangel dar, welcher die Nichtigkeit der Verfügung nach sich ziehen würde. Durch die Bekanntgabe der Namen war es dem Beschwerdeführer möglich, seinen Anspruch auf richtige Besetzung der Vorinstanz und die Wahrung der unparteiischen Beurteilung seiner Sache zu überprüfen. In seiner Eingabe vom 31. Mai 2017 wiederholte der Beschwerdeführer seinen Antrag auf zwingende Kassation der vorinstanzlichen Verfügung. Er machte jedoch auch nach Kenntnisnahme der Namen des Fachspezialisten des SEM und des Sektionschefs a.i. keine Ausstandsgründe gegen diese geltend. Die Unterlassung der Nennung der Namen in der Verfügung selbst ist nicht so gravierend, dass die Verfügung zwingend zu kassieren ist. Das vom Beschwerdeführer zitierte Urteil des Bundesverwaltungsgerichts E-2378/2013 vom 5. März 2015 ist mit der vorliegenden Situation nicht vergleichbar. Es erübrigt sich, auf seine Eingabe näher einzugehen.</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2013/23 E. 6.1.1).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5.3</w:t>
      </w:r>
    </w:p>
    <w:p>
      <w:r>
        <w:t>Der Beschwerdeführer bringt vor, das Zufallsprinzip bei der Zuteilung zum Testverfahren sei nicht dokumentiert worden. Zudem sei die Dolmetscherin bei der Personalienbefragung nicht persönlich anwesend gewesen und es sei nicht klar, um was für eine Art von Befragung es sich bei derjenigen vom 15. Februar 2017 gehandelt habe. Anlässlich der Anhörung vom 9. März 2017 habe er weder frei erzählen können noch sei seine Stellungnahme vom 15. März 2017 in der Verfügung des SEM vom 16. März 2017 berücksichtig worden. Betreffend die vorgebrachte Verletzung im Rahmen der Bestätigung des Zufallsprinzips ist darauf hinzuweisen, dass nebst der Tatsache, dass der Beschwerdeführer bis heute bei der Vorinstanz keine solche Bestätigung beantragt hat, keine rechtliche Anspruchsgrundlage dafür besteht, die Zufälligkeit der Zuweisung in das Testverfahren zu bestätigen. Daneben ist auch der Einwand, seine Verfahrensrechte seien durch die telefonische Übersetzung und die fehlende Rückübersetzung bei der Personalienaufnahme verletzt worden, unbehelflich, zumal er nicht darlegt, welche seiner Verfahrensrechte verletzt worden seien. Der Beschwerdeführer gab an, er habe den telefonischen Dolmetscher gut verstanden. Sodann wurde ihm im Anschluss an die Personalienaufnahme die Möglichkeit gewährt, zusammen mit seiner damaligen Rechtsvertretung seine Personalien zu kontrollieren und Ergänzungen anzubringen, die von der Vorinstanz berücksichtigt wurden. Auch der Vorwurf, es sei nicht klar, ob es sich bei der Befragung am 15. Februar 2017 um eine Erstbefragung oder Anhörung gehandelt habe, ist unbegründet, da es sich hierbei lediglich um ein unerhebliches redaktionelles Versehen handelt. Aus der Verfahrenslogik ergibt sich ohne Weiteres, dass es sich bei der Befragung vom 15. Februar 2017 um eine Erstbefragung im Sinne von Art. 16. Abs. 3 TestV handelte. Ebenso ergeben sich aus dem Protokoll der Anhörung vom 9. März 2017 keine Hinweise für eine Verletzung des Anspruchs auf rechtliches Gehör. Der Beschwerdeführer konnte seine Vorbringen frei ausführen und bestätigte zum Schluss der Anhörung, dass er alle wichtigen Gründe habe vorbringen können. Allfällige Unterbrechungen durch den Befrager, die seinen Redefluss gestört hätten, sind aus dem Protokoll nicht erkennbar. Darüber hinaus ist aus der Verfügung vom 16. März 2017 deutlich ersichtlich, dass die Stellungnahme des vormaligen Rechtsvertreters berücksichtigt wurde (vgl. Verfügung vom 16. März 2017, S. 8). Die Rüge des Beschwerdeführers ist unbegründet.</w:t>
      </w:r>
    </w:p>
    <w:p>
      <w:r>
        <w:rPr>
          <w:b/>
        </w:rPr>
        <w:t>E. 5.4</w:t>
      </w:r>
    </w:p>
    <w:p>
      <w:r>
        <w:t>Auf Beschwerdeebene macht der Beschwerdeführer zudem geltend, die Vorinstanz habe den rechtserheblichen Sachverhalt unvollständig und unrichtig abgeklärt. Die Vorinstanz wäre verpflichtet gewesen, das Dossier seines Cousins beizuziehen und abzuklären, welche Konsequenzen seine Narben bei einer Rückkehr für ihn hätten. Aus den Akten, den Befragungen und der angefochtenen Verfügung geht hervor, dass die Vorinstanz den rechtserheblichen Sachverhalt in Bezug auf seinen Cousin genügend abgeklärt hat. So wird in der Verfügung festgehalten, dass es sich bei B._______ um den Cousin des Beschwerdeführers handle und angenommen werde, dass dieser Probleme mit den sri-lankischen Behörden gehabt habe. Es lasse sich daraus jedoch nicht eine asylrelevante Verfolgungssituation für den Beschwerdeführer ableiten. Ebenso äussert sich die Vorinstanz im Rahmen der Würdigung des Risikoprofils des Beschwerdeführers zu den vom ihm behaupteten Narben. Soweit der Beschwerdeführer weitergehend in seiner Rechtsmitteleingabe eine unrichtige oder unvollständige Sachverhaltsfeststellung geltend macht, bezieht er sich mehrheitlich auf die Beweiswürdigung. Die Rüge des Beschwerdeführers ist unbegründet.</w:t>
      </w:r>
    </w:p>
    <w:p>
      <w:r>
        <w:rPr>
          <w:b/>
        </w:rPr>
        <w:t>E. 5.5</w:t>
      </w:r>
    </w:p>
    <w:p>
      <w:r>
        <w:t>Bezüglich der vorgebrachten Verletzung der Begründungspflicht ist darauf zu verweisen, dass sich die Vorinstanz nicht mit allen Aussagen des Beschwerdeführers einzeln auseinandersetzen muss. So geht aus der angefochtenen Verfügung hervor, dass sich die Vorinstanz mit den wesentlichen Vorbringen des Beschwerdeführers auseinandergesetzt hat und eine sachgerechte Anfechtung ohne weiteres möglich gewesen ist. Die vom Beschwerdeführer auf Beschwerdeebene aufgeführten Punkte beziehen sich sodann auf die Würdigung des Sachverhaltes und nicht auf die Begründungspflicht der Vorinstanz.</w:t>
      </w:r>
    </w:p>
    <w:p>
      <w:r>
        <w:rPr>
          <w:b/>
        </w:rPr>
        <w:t>E. 5.6</w:t>
      </w:r>
    </w:p>
    <w:p>
      <w:r>
        <w:t>Schliesslich macht der Beschwerdeführer geltend, die bisherigen Befragungen seien ungenügend gewesen, zudem sei ihm die vollumfängliche Akteneinsicht verweigert worden, weshalb sein Anspruch auf rechtliches Gehör verletzt worden sei. Diesbezüglich ist auf die Erwägungen in der Zwischenverfügung vom 1. Mai 2017 zu verweisen.</w:t>
      </w:r>
    </w:p>
    <w:p>
      <w:r>
        <w:rPr>
          <w:b/>
        </w:rPr>
        <w:t>E. 5.7</w:t>
      </w:r>
    </w:p>
    <w:p>
      <w:r>
        <w:t>Zusammenfassend liegt keine Verletzung des rechtlichen Gehörs vor. Der rechtserhebliche Sachverhalt wurde von der Vorinstanz richtig und vollständig festgestellt. Die Rügen sind unbegründet.</w:t>
      </w:r>
    </w:p>
    <w:p>
      <w:r>
        <w:rPr>
          <w:b/>
        </w:rPr>
        <w:t>E. 6</w:t>
      </w:r>
    </w:p>
    <w:p>
      <w:r>
        <w:t>Bezüglich des gestellten Beweisantrags, der Beschwerdeführer sei durch eine Fachperson erneut anzuhören, ist auf die entsprechenden Erwägungen in der Zwischenverfügung vom 1. Mai 2017, in welcher der Beweisantrag abgelehnt wurde, zu verweisen. Auf die in der Eingabe vom 1. Mai 2017 vorgebrachten Einwände gegen die Ablehnung dieses Antrages ist nicht weiter einzugehen, zumal die Kassation einer Verfügung nicht notwendigerweise bedeutet, dass ein Asylbewerber erneut anzuhören ist, und nicht rechtsgenüglich begründet wird, inwiefern der Instruktionsrichter in Verletzung seiner Kompetenzen gehandelt habe.</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7.3</w:t>
      </w:r>
    </w:p>
    <w:p>
      <w:r>
        <w:t>Die Vorinstanz begründet ihren Entscheid damit, es sei nicht nachvollziehbar, warum das CID dem Beschwerdeführer beim ersten Besuch keine Frist gesetzt und ihn beim zweiten Mal nicht mitgenommen habe. Es leuchte nicht ein, weshalb der Offizier gerade mit ihm, einem Terrorismusverdächtigen, ein Verhältnis angefangen habe und warum sie nie Gespräche über Persönliches geführt hätten. Der Beschwerdeführer könne in seinen Erzählungen weder Zeitangaben machen noch könne er Details beschreiben. Seine oberflächlichen und zum Teil widersprüchlichen Angaben würden den Eindruck vermitteln, dass er das Geschilderte nicht selbst erlebt habe, weshalb seine Vorbringen nicht glaubhaft seien. Nach dem Kriegsende habe der Beschwerdeführer noch sieben Jahre in Sri Lanka gelebt, weshalb allfällige im Zeitpunkt der Ausreise bestehende Risikofaktoren kein Verfolgungsinteresse bei den sri-lankischen Behörden ausgelöst hätten. Aus der Tatsache, dass er der Cousin einer Person sei, die Probleme mit den sri-lankischen Behörden gehabt habe, könne nicht geschlossen werden, dass er bei einer Rückkehr nach Sri Lanka mit beachtlicher Wahrscheinlichkeit und in absehbarer Zukunft asylrelevanten Verfolgungsmassnahmen ausgesetzt sein werde. Seine Stellungnahme zum Entscheidentwurf ändere nichts daran, dass seine Vorbringen den Anforderungen an Art. 3 und Art. 7 AsylG nicht genügen würden.</w:t>
      </w:r>
    </w:p>
    <w:p>
      <w:r>
        <w:rPr>
          <w:b/>
        </w:rPr>
        <w:t>E. 7.4</w:t>
      </w:r>
    </w:p>
    <w:p>
      <w:r>
        <w:t>Der Beschwerdeführer bringt dagegen vor, es sei üblich, dass die sri-lankischen Sicherheitskräfte bei Verwandten von LTTE-Mitgliedern Nachforschungen betreiben würden. Dass eine willkürlich verhaftete Person ihre Peiniger nicht frage, weshalb sie vorgeladen worden sei, sei nachvollziehbar. Bei einer Beziehung, die von Abhängigkeit und Ängsten geprägt sei, sei es verständlich, dass der Beschwerdeführer seinem Partner keine Fragen gestellt habe, die dessen berufliche Aktivitäten betroffen hätten. Die Tabuisierung der Homosexualität in der tamilischen Gesellschaft sei gross. Es sei einleuchtend, dass die Familie des Beschwerdeführers nicht noch Gespräche mit ihm geführt habe, sondern der Familienausschluss direkt erfolgt sei. Seine Antworten seien angesichts seines grossen Schamgefühls detailliert ausgefallen. Es könne ihm nicht vorgeworfen werden, dass er nicht wisse, wie die Behörden und seine Familie von seiner Beziehung erfahren hätten. Die von der Vorinstanz vorgehaltenen Widersprüche seien auf deren bewusste Fehlinterpretation zurückzuführen. Er erfülle zahlreiche vom Bundesverwaltungsgericht definierte Risikofaktoren. So verfüge er über eine enge familiäre Verbindung zu einem gesuchten LTTE-Aktivisten, habe sichtbare Narben, besitze keinen gültigen Reisepass, zudem müsse er bei einer Rückkehr damit rechnen, von den Behörden verhört zu werden. Er habe kürzlich vom Mann seiner Cousine erfahren, dass gegen ihn wegen eines angeblichen Vorfalls im Januar 2014 ein Strafverfahren eröffnet worden sei. Mit dieser Lüge hätten die sri-lankischen Behörden die Basis geschaffen, um ihn bei einer Rückkehr zu inhaftieren und des Separatismus zu verdächtigen.</w:t>
      </w:r>
    </w:p>
    <w:p>
      <w:r>
        <w:rPr>
          <w:b/>
        </w:rPr>
        <w:t>E. 7.5</w:t>
      </w:r>
    </w:p>
    <w:p>
      <w:r>
        <w:t>Es ist durchaus nachvollziehbar, dass Befragungen zur sexuellen Orientierung sowie zu sexuellen Übergriffen mit gewissen Schamgefühlen verbunden sind. Mit der Zusammenstellung eines reinen Männerteams wurde diesem Umstand soweit als möglich Rechnung getragen. Die Schamgefühle des Beschwerdeführers vermögen jedoch nicht die ihm gesetzlich auferlegte Mitwirkungspflicht wegzubedingen und die zahlreichen Widersprüche und Ungereimtheiten in seinen Ausführungen zu erklären. Der Beschwerdeführer gab in der Anhörung an, er sei das erste Mal im Oktober 2010 von vier Personen des CID aufgesucht worden. Sie hätten ihm keine Frist angesetzt, jedoch hätten sie ihn bei ihrem zweiten Besuch Ende Oktober 2010 verpflichtet, sich innerhalb von zehn Tagen zu melden. Am (...) März 2011 seien sie ein weiteres Mal zu ihm nach Hause gekommen. Dieses Mal hätten sie ihn mitgenommen (vgl. Akten der Vorinstanz, A27, S. 3 - 5). Es erscheint nicht plausibel, dass das CID dem Beschwerdeführer beim ersten Besuch keine Frist angesetzt, ihn aber beim zweiten Mal persönlich vorgefunden, jedoch trotzdem nicht mitgenommen haben soll, sondern ihn ohne örtliche Angaben aufforderte, sich binnen zehn Tagen bei ihnen zu melden. Ebenso ist nicht nachvollziehbar, weshalb das CID den Beschwerdeführer im Oktober 2010 zwei Mal hätte aufsuchen sollen, ihn jedoch nicht mitgenommen hat, sondern erst Monate später, nachdem er die Frist unbenutzt verstreichen liessen, wieder behelligt haben soll. Desgleichen erstaunt, dass der Beschwerdeführer, trotz seiner geschilderten Angst, die ersten zwei Besuche nur mit grosser Mühe zeitlich einordnen, hingegen für den dritten Besuch ein genaues Datum benennen konnte. Genauso wenig plausibel ist der Umstand, dass sich der Offizier einen LTTE-Verdächtigen als Affäre ausgewählt, sich mit diesem über Jahre getroffen sowie mit ihm Ferien an einem belebten Touristenort verbracht haben soll und ihn schliesslich sogar bei sich habe wohnen lassen, obwohl er dadurch seine berufliche und gesellschaftliche Stellung riskiert hätte. Genauso scheint nicht nachvollziehbar, weshalb der Vater des Offiziers, der ihm gemäss seinen Aussagen den Tod gewünscht habe, ihn noch Monate in Sri Lanka habe bleiben lassen und ihm schliesslich die gesamte Ausreise bis in die Schweiz habe finanzieren sollen. Auffällig ist zudem, dass der Beschwerdeführer gemäss seinen Angaben noch im August 2015 ohne Probleme einen Pass habe bestellen können, obwohl er längst im Visier der Behörden gewesen sei. Auch die weiteren Ausführungen des Beschwerdeführers fielen sehr knapp und detailarm aus. So wäre zu erwarten gewesen, dass der Beschwerdeführer zumindest den Nachnamen seiner fünf Jahre dauernden Affäre benennen und Angaben zu dessen beruflichem Umfeld hätte machen können. Selbst auf Nachfrage konnte er keine weiteren Details schildern. Auch zur Frage, wie sich zu seinem anfänglichen Vergewaltiger innerhalb von zwei Tagen eine Beziehung habe entwickeln können, konnte er keine Angaben machen. Schliesslich muss darauf hingewiesen werden, dass der Beschwerdeführer, trotz der ihm gewährten Frist, keine Beweismittel einreichte, welche seine Angaben stützen würden, insbesondere auch nicht die in Aussicht gestellte Dokumentation seiner Narben. Für das Ansetzen einer weiteren First, wie in der Eingabe vom 31. Mai 2017 beantragt wurde, besteht kein Anlass, zumal dem Beschwerdeführer mit Zwischenverfügung vom 1. Mai 2017 eine im Rahmen von Art. 110 Abs. 2 AsylG liegende Frist zur Einreichung von Beweismitteln angesetzt wurde. Die bereits mit der Beschwerde zu den Akten gereichten Beweismittel vermögen, sofern sie überhaupt rechtserheblich sind, an der Unglaubhaftigkeit seiner Vorbringen nichts zu ändern. Hierbei handelt es sich grösstenteils um Dokumente, welche die allgemeine Lage in Sri Lanka und die politische Situation beschreiben. Aus diesen Beweismitteln kann der Beschwerdeführer weder eine individuelle Verfolgung ableiten noch sind sie geeignet, seine zahlreichen Widersprüche zu entkräften. Im Übrigen ist zur Vermeidung von Wiederholungen auf die zutreffenden Erwägungen der Vorinstanz zu verweisen.</w:t>
      </w:r>
    </w:p>
    <w:p>
      <w:r>
        <w:rPr>
          <w:b/>
        </w:rPr>
        <w:t>E. 7.6</w:t>
      </w:r>
    </w:p>
    <w:p>
      <w:r>
        <w:t>Der Beschwerdeführer macht auf Beschwerdeebene erstmals geltend, er habe vom Ehemann seiner Cousine erfahren, dass gegen ihn ein Strafverfahren eingeleitet worden sei, weil er angeblich durch den Gebrauch von Feuerwerkskörpern im Januar 2014 die Bevölkerung gefährdet habe. Er könne dies mit Gerichtsdokumenten und weiteren Unterlagen belegen. Mit Verfügung vom 1. Mai 2017 wurde dem Beschwerdeführer Frist angesetzt, um entsprechende Dokumente zu den Akten zu geben. Bis zum heutigen Zeitpunkt sind keine Unterlagen eingegangen, welche die neuen Vorbringen belegen würden. Der Beschwerdeführer wurde insgesamt drei Mal zu seinen Asylgründen befragt und hatte wiederholt die Möglichkeit, diesen Sachverhalt bei der Vorinstanz geltend zu machen. Erklärungen dafür, weshalb er erst innert der zehntägigen Beschwerdefrist von diesem Umstand Kenntnis erhalten haben soll, bringt er nicht vor. Zudem erscheint nicht plausibel, weshalb ihm die sri-lankischen Behörden sechs Jahre nach dem ersten Verhör die Ausführung eines gemeinrechtlichen Delikts unterstellen sollten. Die neuen unbelegten Vorbringen des Beschwerdeführers sind als nachgeschoben und somit unglaubhaft zu qualifizieren.</w:t>
      </w:r>
    </w:p>
    <w:p>
      <w:r>
        <w:rPr>
          <w:b/>
        </w:rPr>
        <w:t>E. 7.7</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des Beschwerdeführers - und damit die vorgebrachte Reflexverfolgung - unglaubhaft ausgefallen sind und er selbst ausführte, nie für die LTTE tätig gewesen zu sein, erfüllt er keine der oben erwähnten stark risikobegründenden Faktoren. Zudem unterliess es der Beschwerdeführer bis heute, seine geltend gemachten Narben zu dokumentieren, obwohl ihm mit der Zwischenverfügung vom 1. Mai 2017 eine dreissigtägige Frist zur Einreichung von Beweismitteln gewährt wurde. Alleine aus der tamilischen Ethnie und der mehrmonatigen Landesabwesenheit kann der Beschwerdeführer keine Gefährdung ableiten. Die Beschwerde zeigt sodann nicht auf, inwiefern ihm persönlich im Falle einer Rückkehr ein ernsthafter Nachteil im Sinne von Art. 3 AsylG drohen könnte. Solches lässt sich nicht annehmen und ergibt sich auch nicht aus den auf Beschwerdeebene eingereichten Dokumenten, Berichten und Länderinformationen.</w:t>
      </w:r>
    </w:p>
    <w:p>
      <w:r>
        <w:rPr>
          <w:b/>
        </w:rPr>
        <w:t>E. 7.8</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des BVGer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aus C._______, Distrikt D._______, wo er seit seiner Geburt bis kurz vor seiner Ausreise lebte. Gemäss eigenen Angaben hat er weiterhin Kontakt mit seiner Mutter sowie seiner Cousine und deren Mann. Er hat die Schule bis und mit dem O-Level besucht und danach als Maler gearbeitet. Er ist nebst leichten Hüft- und Knieproblemen bei guter Gesundheit und arbeitsfähig. Es ist davon auszugehen, dass ihn seine Familie bei der Wiedereingliederung unterstützt und er eine neue Existenz wird aufbauen können.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der Beschwerdeergänzung sowie auf die eingereichten Beweismittel näher einzugehen. Für eine Rückweisung der Sache an die Vorinstanz besteht nach dem Gesagten kein Anlass. Die Beschwerde ist abzuweisen.</w:t>
      </w:r>
    </w:p>
    <w:p>
      <w:r>
        <w:rPr>
          <w:b/>
        </w:rPr>
        <w:t>E. 11</w:t>
      </w:r>
    </w:p>
    <w:p>
      <w:r>
        <w:t>Bei diesem Ausgang des Verfahrens sind die Kosten dem Beschwerdeführer aufzuerlegen (Art. 63 Abs. 1 VwVG) und angesichts des überdurchschnittlichen Umfangs der Eingabe auf insgesamt Fr. 1'500.- festzusetzen (Art. 1-3 des Reglements vom 21. Februar 2008 über die Kosten und Entschädigungen vor dem Bundesverwaltungsgericht [VGKE, SR 173.320.2]). Der am 16. Mai 2017 geleistete Kostenvorschuss von Fr. 1'500.-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