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E-1859/2015 vom 1. April 2015</w:t>
      </w:r>
    </w:p>
    <w:p>
      <w:r>
        <w:t>Bundesverwaltungsgericht, 2015-04-01, DE</w:t>
      </w:r>
    </w:p>
    <w:p>
      <w:r>
        <w:rPr>
          <w:b/>
        </w:rPr>
        <w:t xml:space="preserve">Quelle: </w:t>
      </w:r>
      <w:r>
        <w:t>https://mcp.opencaselaw.ch/entscheid/bvger_E-1859_2015</w:t>
      </w:r>
    </w:p>
    <w:p>
      <w:r>
        <w:t>FR: TAF E-1859/2015 du 1 avril 2015</w:t>
      </w:r>
    </w:p>
    <w:p>
      <w:r>
        <w:t>IT: TAF E-1859/2015 del 1 aprile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formgenügend eingereichte Beschwerde (Art. 108 Abs. 2 AsylG und Art. 52 Abs. 1 VwVG) ist mit einer Ausnahme (s. E. 2.2, letzter Satz) einzutreten.</w:t>
      </w:r>
    </w:p>
    <w:p>
      <w:r>
        <w:rPr>
          <w:b/>
        </w:rPr>
        <w:t>E. 2.1</w:t>
      </w:r>
    </w:p>
    <w:p>
      <w:r>
        <w:t>Mit Beschwerde können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 Demzufolge ist auf den Antrag auf Asylgewährung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21, 22 und 29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Eigenen Angaben zufolge hat sich der Beschwerdeführer ab 31. Mai 2011 (SEM-Akten B8 S. 5) respektive ab August 2011 (Beschwerde S. 1) jahrelang ausserhalb dem Schengengebiet aufgehalten. Er war wegen Vorliegens eines schwerwiegenden persönlichen Härtefalls seit dem 6. April 2009 im Besitz einer vom Kanton (...) ausgestellten Aufenthaltsbewilligung gewesen, was gleichentags zum Erlöschen seiner früheren vorläufigen Aufnahme geführt hatte (Art. 84 Abs. 4 AuG). Die Aufenthaltsberechtigung vom 6. April 2009 ist mit seiner Abmeldung ins Ausland (vgl. Art. 61 Abs. 1 Bst. a AuG) respektive - bei nicht abgemeldeter Ausreise - sechs Monate nach erfolgter Ausreise (vgl. Art. 61 Abs. 2 AuG) erloschen. Es besteht demnach im Dublin-Kontext kein zu beachtender Aufenthaltstitel für die Schweiz.</w:t>
      </w:r>
    </w:p>
    <w:p>
      <w:r>
        <w:rPr>
          <w:b/>
        </w:rPr>
        <w:t>E. 4.2</w:t>
      </w:r>
    </w:p>
    <w:p>
      <w:r>
        <w:t>Ein Abgleich der Fingerabdrücke des Beschwerdeführers mit der «Eurodac»-Datenbank ergab, dass dieser in Ungarn u.a. am (...) 2015 ein Asylgesuch gestellt hat. Die ungarischen Behörden stimmten dem Gesuch des BFM um Wiederaufnahme am 2. März 2015 zu und teilten mit, dass er in Ungarn unter den irakischen Personalien, C._______, geboren (...), aufgetreten sei. Er bestreitet auf Beschwerdestufe nicht, dort ein Asylgesuch eingereicht zu haben. Die grundsätzliche Zuständigkeit dieses Mitgliedstaates bleibt damit unbestritten. Demnach ist Ungarn zur Wiederaufnahme des Beschwerdeführers verpflichtet und für die Durchführung des Verfahrens zuständig.</w:t>
      </w:r>
    </w:p>
    <w:p>
      <w:r>
        <w:rPr>
          <w:b/>
        </w:rPr>
        <w:t>E. 4.3</w:t>
      </w:r>
    </w:p>
    <w:p>
      <w:r>
        <w:t>In der Rechtsmitteleingabe wird gegen die Überstellung nach Ungarn vorgebracht, der Beschwerdeführer sei auf der Rückreise in die Schweiz in Ungarn verhaftet worden und habe Polizeigewalt erlebt. Er vermute, dass die dortige Sicherheitslage nicht ausreichend sei, um ihn vor Gefahren zu schützen, die ihm von gewissen Menschen aus dem Irak drohten. Er fände kein vertrautes und genügend sicheres Umfeld wie in der Schweiz vor. In der Schweiz habe er rund zehn Jahre lang bis August 2011 gelebt, gearbeitet, einen Freundeskreis und eine Familie gegründet, sei gut integriert und beherrsche eine Amtssprache. Darüber hinaus sei die Schweiz seine Heimat geworden. Er könne sich vorstellen, hier ein neues Leben mit einer Frau, die er liebe und gerne heiraten möchte, zu beginnen. Bloss sein Rechtsstatus habe ihm dies bis anhin verwehrt. Es wäre unverhältnismässig und nicht zu rechtfertigen, ihn nach Ungarn abzuschieben. Damit fordert er sinngemäss die Anwendung der Ermessensklausel von Art. 17 Abs. 1 Dublin-III-VO und den Selbsteintritt der Schweiz auf das Asylgesuch.</w:t>
      </w:r>
    </w:p>
    <w:p>
      <w:r>
        <w:rPr>
          <w:b/>
        </w:rPr>
        <w:t>E. 5.1</w:t>
      </w:r>
    </w:p>
    <w:p>
      <w:r>
        <w:t>Die Ermessensklausel von Art. 17 Abs. 1 Dublin-III-VO ist nicht direkt anwendbar, sondern nur in Verbindung mit einer anderen Norm des nationalen (namentlich Art. 29a Abs. 3 der Asylverordnung 1 vom 11. August 1999 [AsylV 1, SR 142.311]) oder internationalen Rechts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 Nachfolgend ist zu prüfen, ob dem Beschwerdeführer bei einer Überstellung nach Ungarn eine Verletzung völkerrechtlicher Pflichten, namentlich Art. 3 EMRK, droht. Er hat demnach substantiiert darzulegen, gestützt auf welche konkreten Hinweise anzunehmen sei, die zuständigen ausländischen Behörden würden in seinem Fall ihre staatsvertraglichen Verpflichtungen nicht respektieren und ihm den notwendigen Schutz verweigern.</w:t>
      </w:r>
    </w:p>
    <w:p>
      <w:r>
        <w:rPr>
          <w:b/>
        </w:rPr>
        <w:t>E. 5.2</w:t>
      </w:r>
    </w:p>
    <w:p>
      <w:r>
        <w:t>Insgesamt hat er weder anlässlich der Befragungen noch in der Beschwerde konkret dargetan, dass und inwiefern sich Ungarn in Bezug auf seine Person nicht an die völkerrechtlichen Verpflichtungen gehalten hätte oder im Falle der Überstellung nicht halten werde. Zum Vorbringen, in Ungarn sei die Sicherheitslage für ihn nicht ausreichend, um ihn vor Gefahren zu schützen, die ihm von gewissen Menschen aus dem Irak drohten (s. E. 4.3), ist festzuhalten, dass er nicht substanziiert, inwiefern ihm diesbezüglich eine reelle Gefahr in Ungarn droht. Es bestehen keine konkreten Hinweise darauf, dass ihm in Ungarn in Bezug auf die Betreuung, die Sicherheit und seine besonderen Bedürfnisse nicht Rechnung getragen würde. Einen glaubhaften Nachweis, in seinem Fall würden staatsvertragliche Verpflichtungen durch Ungarn nicht respektiert und ihm werde nicht der ihm zustehende notwendige Schutz gewährt, hat er somit nicht erbracht.</w:t>
      </w:r>
    </w:p>
    <w:p>
      <w:r>
        <w:rPr>
          <w:b/>
        </w:rPr>
        <w:t>E. 5.3</w:t>
      </w:r>
    </w:p>
    <w:p>
      <w:r>
        <w:t>Der Umstand, dass er verliebt sei in eine nicht näher bezeichnete Person, eine Amtssprache der Schweiz spreche, langjährige Erfahrungen mit der Schweiz gehabt habe und sich eine Zukunft in der Schweiz vorstellen könne (vgl. E. 4.3), rechtfertigt nicht die Anwendung der Ermessensklausel. Es besteht keine Veranlassung für einen Selbsteintritt der Schweiz.</w:t>
      </w:r>
    </w:p>
    <w:p>
      <w:r>
        <w:rPr>
          <w:b/>
        </w:rPr>
        <w:t>E. 5.4</w:t>
      </w:r>
    </w:p>
    <w:p>
      <w:r>
        <w:t>Die Vorinstanz ist somit zutreffend von der Zuständigkeit Ungarns ausgegangen und in Anwendung von Art. 31a Abs. 1 Bst. b AsylG auf das Asylgesuch nicht eingetreten.</w:t>
      </w:r>
    </w:p>
    <w:p>
      <w:r>
        <w:rPr>
          <w:b/>
        </w:rPr>
        <w:t>E. 6</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soweit darauf einzutreten ist.</w:t>
      </w:r>
    </w:p>
    <w:p>
      <w:r>
        <w:rPr>
          <w:b/>
        </w:rPr>
        <w:t>E. 8</w:t>
      </w:r>
    </w:p>
    <w:p>
      <w:r>
        <w:t>Bei diesem Ausgang sind die Verfahrenskosten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