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E-1857/2014 vom 17. Juni 2014</w:t>
      </w:r>
    </w:p>
    <w:p>
      <w:r>
        <w:t>Bundesverwaltungsgericht, 2014-06-17, DE</w:t>
      </w:r>
    </w:p>
    <w:p>
      <w:r>
        <w:rPr>
          <w:b/>
        </w:rPr>
        <w:t xml:space="preserve">Quelle: </w:t>
      </w:r>
      <w:r>
        <w:t>https://mcp.opencaselaw.ch/entscheid/bvger_E-1857_2014</w:t>
      </w:r>
    </w:p>
    <w:p>
      <w:r>
        <w:t>FR: TAF E-1857/2014 du 17 juin 2014</w:t>
      </w:r>
    </w:p>
    <w:p>
      <w:r>
        <w:t>IT: TAF E-1857/2014 del 17 giugno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Art. 6 und Art. 105 AsylG). Aufgrund der Zuweisung des Beschwerdeführers in die Testphase des Verfahrenszentrums in Zürich kommt zudem die TestV zur Anwendung (vgl. Art. 112b Abs. 3 AsylG,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38 TestV; Art. 48 Abs. 1 und Art. 52 Abs. 1 VwVG).</w:t>
      </w:r>
    </w:p>
    <w:p>
      <w:r>
        <w:rPr>
          <w:b/>
        </w:rPr>
        <w:t>E. 1.4</w:t>
      </w:r>
    </w:p>
    <w:p>
      <w:r>
        <w:t>Auf die Beschwerde ist einzutreten.</w:t>
      </w:r>
    </w:p>
    <w:p>
      <w:r>
        <w:rPr>
          <w:b/>
        </w:rPr>
        <w:t>E. 2</w:t>
      </w:r>
    </w:p>
    <w:p>
      <w:r>
        <w:t>Mit Beschwerde kann im Bereich des Asylrechts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Gemäss Art. 61 Abs. 1 VwVG entscheidet das Bundesverwaltungsgericht in der Sache selbst oder weist diese ausnahmsweise mit verbindlichen Weisungen an die Vorinstanz zurück. Eine Kassation und Rückweisung an die Vorinstanz ist insbesondere angezeigt, wenn der Sachverhalt unvollständig festgestellt wurde, indem nicht alle für den Entscheid rechtserheblichen Sachumstände berücksichtigt wurden. Als unrichtig festgestellt gilt der Sachverhalt, wenn dem Entscheid ein falscher und aktenwidriger Sachverhalt zu Grunde gelegt wurde, wie dies der Fall ist, wenn die Rechtserheblichkeit einer Tatsache zu Unrecht verneint und diese gar nicht erst zum Gegenstand eines Beweisverfahrens gemacht wurden. In solchen Fällen ist die Sache an die Vorinstanz zurückzuweisen zur Feststellung weiterer Tatsachen und Durchführung eines umfassenden Beweisverfahrens (vgl. Kölz / Häner / Bertschi, Verwaltungsverfahren und Verwaltungsrechtspflege des Bundes, 3. Aufl. 2013, Rz. 1153 ff.; Philippe Weissenberger, in: Waldmann/Weissenberger [Hrsg.], Praxiskommentar VwVG, 2009, Art. 61 N 15 ff.).</w:t>
      </w:r>
    </w:p>
    <w:p>
      <w:r>
        <w:rPr>
          <w:b/>
        </w:rPr>
        <w:t>E. 5.1</w:t>
      </w:r>
    </w:p>
    <w:p>
      <w:r>
        <w:t>In ihrer Verfügung führte die Vorinstanz aus, der Beschwerdeführer erfülle die Flüchtlingseigenschaft nicht, da es sich beim geltend gemachten Übergriff nicht um eine gezielte Verfolgungsmassnahme gehandelt habe; vielmehr könne dies im Rahmen eines Bürgerkrieges jeder Person zustossen. Auch in der Vernehmlassung weist sie darauf hin, dass nicht von einer langanhaltenden, gezielten Verfolgungsmotivation seitens der Al-Nusra-Anhänger ausgegangen werden müsse, zumal die weiterhin in C._______ und B._______ lebenden Verwandten des Beschwerdeführers keine Reflexverfolgung oder gar direkte Verfolgung aufgrund ihres christlichen Glaubens erlebt hätten.</w:t>
      </w:r>
    </w:p>
    <w:p>
      <w:r>
        <w:rPr>
          <w:b/>
        </w:rPr>
        <w:t>E. 5.2</w:t>
      </w:r>
    </w:p>
    <w:p>
      <w:r>
        <w:t>Das Bundesverwaltungsgericht schliesst sich mit Bezug auf die Frage der Gezieltheit der Zufügung der erlittenen Nachteile der Rechtsauffassung des Beschwerdeführers an: Dieser war zwar unerwarteterweise, letztlich zufällig, in einen Checkpoint der Islamisten geraten, was sich tatsächlich mit der vom BFM verwendeten Formel "zur falschen Zeit am falschen Ort" beschreiben lässt und als solches noch keine gezielte Verfolgung darstellen könnte. Ab diesem Zeitpunkt wurden ihm jedoch gemäss seiner Schilderung gezielte Nachteile zugefügt (und zwar aufgrund seines christlichen Glaubens, mithin aus einem flüchtlingsrechtlich relevanten Verfolgungsmotiv).</w:t>
      </w:r>
    </w:p>
    <w:p>
      <w:r>
        <w:rPr>
          <w:b/>
        </w:rPr>
        <w:t>E. 5.3</w:t>
      </w:r>
    </w:p>
    <w:p>
      <w:r>
        <w:t>Die Fragen, ob diese Nachteile erheblich im Sinn von Art. 3 Abs. 2 AsylG waren und ob der Beschwerdeführer bei einer Rückkehr nach Syrien gegebenenfalls auch eine zukünftige asylrechtliche Verfolgung berechtigterweise zu befürchten hätte, lassen sich bei der heutigen Akten­lage nicht abschliessend beantworten:</w:t>
      </w:r>
    </w:p>
    <w:p>
      <w:r>
        <w:rPr>
          <w:b/>
        </w:rPr>
        <w:t>E. 5.3.1</w:t>
      </w:r>
    </w:p>
    <w:p>
      <w:r>
        <w:t>Der Beschwerdeführer hatte bei seinen beiden Befragungen relativ detailliert geschildert, unter welchen Umständen er in die Hände der Islamisten geraten und wie ihm seine Befreiung aus dieser Haft gelungen sei. Was sich während der dreistündigen Festhaltung genau ereignet haben soll, wurde jedoch deutlich weniger substanziiert - teilweise scheinbar auch nicht ganz übereinstimmend - beschrieben. Mangels konkreter Nachfragen lässt sich den Protokollen beispielsweise nicht entnehmen, ob der Beschwerdeführer drei Stunden lang seine sofortige Exekution konkret befürchten musste oder ob ihm seine Tötung erst für den Fall der Verweigerung einer von ihm verlangten Handlung (Übertritt zum Islam) oder gar nur auf beiläufige, kaum ernstzunehmende Weise angedroht worden sei. Diese Informationen sind für die Einschätzung der flüchtlingsrechtlichen Relevanz (Intensität) der Nachteile unabdingbar. Aufgrund der knappen Befragungsprotokolle lässt sich auch die Glaubhaftigkeit des Kernvorbringens des Beschwerdeführers letztlich nicht abschliessend beurteilen. Diese Punkte werden im Rahmen einer erneuten Anhörung zu klären sein.</w:t>
      </w:r>
    </w:p>
    <w:p>
      <w:r>
        <w:rPr>
          <w:b/>
        </w:rPr>
        <w:t>E. 5.3.2</w:t>
      </w:r>
    </w:p>
    <w:p>
      <w:r>
        <w:t>Auch die Frage, ob der syrische Staat den Beschwerdeführer - im Fall einer Bejahung der Glaubhaftigkeit der geltend gemachten Asylgründe und der hinreichenden Intensität der zugefügten Nachteile - vor zukünftiger Verfolgung durch die Islamisten schützen könnte, lässt sich bei der heutigen Aktenlage nicht beantworten: Für die Gefährdungslage im Rahmen der Prüfung des Flüchtlingsbegriffs ist nach Lehre und Praxis der Zeitpunkt des Asylentscheids massgebend. Die aktuelle Lage in Syrien ist jedoch aufgrund des Bürgerkriegs überaus unübersichtlich und stetigen Veränderungen unterworfen. Der Beschwerdeführer hatte selber ebenfalls auf die stetig wechselnden Frontverläufe hingewiesen (vgl. insbesondere Protokoll der Anhörung vom 19. März 2014 S. 5).</w:t>
      </w:r>
    </w:p>
    <w:p>
      <w:r>
        <w:rPr>
          <w:b/>
        </w:rPr>
        <w:t>E. 5.3.3</w:t>
      </w:r>
    </w:p>
    <w:p>
      <w:r>
        <w:t>In diesem Zusammenhang wird vom BFM auch die bisher nicht beantwortete Frage des Vorliegens einer Kollektivverfolgung der Christen im heutigen Syrien zu prüfen sein (vgl. etwa auch das Urteil E-776/2013 des Bundesverwaltungsgerichts vom 8. April 2014, in welchem die angefochtene Verfügung aufgehoben und das BFM aufgefordert worden war, weitere Abklärungen zur Prüfung [auch] dieser Frage vorzunehmen).</w:t>
      </w:r>
    </w:p>
    <w:p>
      <w:r>
        <w:rPr>
          <w:b/>
        </w:rPr>
        <w:t>E. 6.1</w:t>
      </w:r>
    </w:p>
    <w:p>
      <w:r>
        <w:t>Der Beschwerdeführer hatte in seinem Rechtsmittel geltend gemacht, die Vorinstanz habe sein rechtliches Gehör verletzt, indem sie die in seiner vorgängigen Stellungnahme aufgelisteten Argumente in keiner Weise berücksichtigt habe. Das BFM habe sich in seiner Verfügung auf die blosse Feststellung beschränkt, die Vorbringen des Beschwerdeführers in dieser Eingabe vermöchten nichts an der Auffassung des BFM zu ändern, ohne seine Argumente zusammenfassend wiederzugeben; dies obwohl den Materialien zur TestV zu entnehmen sei, dass das BFM sich in der Schlussverfügung jeweils mit der vorher fristgerecht geäusserten Rechts­auffassung der Asylsuchenden in erkennbarer Weise auseinandersetzen müsse. In der Replik wird festgestellt, dass die Vorinstanz in ihrer Vernehmlassung mit keinem Wort auf die formalen Rügen des Beschwerdeführers Bezug genommen habe. Das BFM habe sich zwar nun zu einigen materiellen Argumenten geäussert, die in der vor Erlass der Verfügung eingeholten Stellungnahme enthalten gewesen seien. Es sei aber offensichtlich nicht Ziel des Verordnungsgebers gewesen, dass das BFM zuerst die Einreichung einer Beschwerde gegen seine Schlussverfügung abwarte, bevor es sich - in seiner Beschwerde-Vernehmlassung - inhaltlich mit der vorgängigen Argumentation des Beschwerdeführers befasse.</w:t>
      </w:r>
    </w:p>
    <w:p>
      <w:r>
        <w:rPr>
          <w:b/>
        </w:rPr>
        <w:t>E. 6.2</w:t>
      </w:r>
    </w:p>
    <w:p>
      <w:r>
        <w:t>In dem vom Beschwerdeführer zitierten Bericht des Eidgenössischen Justiz- und Polizeidepartements (EJPD) über die Beschleunigungsmassnahmen im Asylbereich vom März 2011 wird diese inhaltliche Bezug­nahme tatsächlich erwähnt (vgl. dort S. 52: "Die Stellungnahme des Rechtsvertreters müsste allerdings im Asylentscheid dargelegt werden"). Im erläuternden Bericht des BFM zur Dringlichen Änderung des Asylgesetzes vom 28. September 2012 (Entwurf der Verordnungsanpassungen) vom Februar 2013 ist hingegen kein solcher Hinweis enthalten (vgl. dort S. 13 f.).</w:t>
      </w:r>
    </w:p>
    <w:p>
      <w:r>
        <w:rPr>
          <w:b/>
        </w:rPr>
        <w:t>E. 6.3</w:t>
      </w:r>
    </w:p>
    <w:p>
      <w:r>
        <w:t>Dem Beschwerdeführer ist insoweit beizupflichten, als es jedenfalls wünschenswert wäre, wenn das BFM sich in erkennbarer Weise mit den Argumenten der zugewiesenen Rechtvertreter der Asyl­suchenden in den vorgängigen Stellungnahmen gemäss Art. 17 Abs. 2 Bst. f TestV inhaltlich auseinandersetzen würde. Im Asylverfahren des Beschwerdeführers hatte die Rechtsvertreterin im Rahmen dieses "vorgelagerten Einspracheverfahrens" ausführlich dargelegt, aus welchen Gründen nach Lehre und Praxis vorliegend nicht von einer mangelnden Gezieltheit der zugefügten Nachteile ausgegangen werden konnte. Hätte das BFM sich mit dieser einlässlichen Argumentation inhaltlich auseinandergesetzt, hätte das vorliegende Beschwerdeverfahren wohl nicht in dieser Form durchgeführt werden müssen.</w:t>
      </w:r>
    </w:p>
    <w:p>
      <w:r>
        <w:rPr>
          <w:b/>
        </w:rPr>
        <w:t>E. 6.4</w:t>
      </w:r>
    </w:p>
    <w:p>
      <w:r>
        <w:t>Es kann indessen vorliegend offenbleiben, ob bei einer fehlenden (erkennbaren) Auseinandersetzung mit den Argumenten der zugewiesenen Rechtsvertretung zwingend das rechtliche Gehör der Asylsuchenden verletzt wird.</w:t>
      </w:r>
    </w:p>
    <w:p>
      <w:r>
        <w:rPr>
          <w:b/>
        </w:rPr>
        <w:t>E. 7</w:t>
      </w:r>
    </w:p>
    <w:p>
      <w:r>
        <w:t>Nach dem Gesagten rügt der Beschwerdeführer in seiner Beschwerde zu Recht die unrichtige und unvollständige Abklärung des rechtserheblichen Sachverhaltes. Die Beschwerde ist somit gutzuheissen, soweit die Aufhebung der angefochtenen Verfügung beantragt wird. Die Sache ist im Sinn von Art. 61 Abs. 1 VwVG zur vollständigen und richtigen Sachverhalts­ermittlung sowie zur Neubeurteilung an die Vorinstanz zurückzuweisen. Bei dieser Sachlage ist auf die weiteren Vorbringen in der Rechtsmitteleingabe nicht näher einzugehen.</w:t>
      </w:r>
    </w:p>
    <w:p>
      <w:r>
        <w:rPr>
          <w:b/>
        </w:rPr>
        <w:t>E. 8.1</w:t>
      </w:r>
    </w:p>
    <w:p>
      <w:r>
        <w:t>Bei diesem Ausgang des Verfahrens sind keine Kosten zu erheben (Art. 63 Abs. 1 und 2 VwVG). Die Anträge auf Gewährung der unentgeltlichen Prozessführung und Verzicht auf die Erhebung eines Kostenvorschusses werden mit dem vorliegenden Urteil gegenstandslos.</w:t>
      </w:r>
    </w:p>
    <w:p>
      <w:r>
        <w:rPr>
          <w:b/>
        </w:rPr>
        <w:t>E. 8.2</w:t>
      </w:r>
    </w:p>
    <w:p>
      <w:r>
        <w:t>Dem vertretenen Beschwerdeführer wäre angesichts seines Obsiegens in Anwendung von Art. 64 VwVG und Art. 7 Abs. 1 des Reglements vom 21. Februar 2008 über die Kosten und Entschädigungen vor dem Bundesverwaltungsgericht (VGKE, SR 173.320.2) grundsätzlich eine Entschädigung für die ihm notwendigerweise erwachsenen Parteikosten zuzusprechen. Der Beschwerdeführer war auf Beschwerdeebene jedoch durch eine ihm zugewiesene Rechtsvertretung im Sinn von Art. 25 TestV vertreten. Nach Art. 28 TestV richtet das BFM dem Leistungserbringer - der nach Art. 26 Abs. 1 TestV für die Sicherstellung, Organisation und Durchführung der Rechtsvertretung zuständig ist - eine Entschädigung für die Wahrnehmung der Rechtsvertretung im Beschwerdeverfahren, insbesondere das Verfassen einer Beschwerdeschrift, aus (Art. 26 Abs. 1 Bst. d TestV). Damit ist praxisgemäss davon auszugehen, dass dem Beschwerdeführer keine Parteikosten erwachsen sind, weshalb keine Parteientschädigung zuzusprechen ist (vgl. Urteil des Bundesverwaltungs­gerichts E-1917/2017 vom 21. Mai 2014 E. 11).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