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E-1853/2011 vom 9. Mai 2011</w:t>
      </w:r>
    </w:p>
    <w:p>
      <w:r>
        <w:t>Bundesverwaltungsgericht, 2011-05-09, DE</w:t>
      </w:r>
    </w:p>
    <w:p>
      <w:r>
        <w:rPr>
          <w:b/>
        </w:rPr>
        <w:t xml:space="preserve">Quelle: </w:t>
      </w:r>
      <w:r>
        <w:t>https://mcp.opencaselaw.ch/entscheid/bvger_E-1853_2011</w:t>
      </w:r>
    </w:p>
    <w:p>
      <w:r>
        <w:t>FR: TAF E-1853/2011 du 9 mai 2011</w:t>
      </w:r>
    </w:p>
    <w:p>
      <w:r>
        <w:t>IT: TAF E-1853/2011 del 9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AsvlV 1). Die schweizerische Vertretung überweist in der Folge das Gesuch mit einem Bericht dem Bundesamt, welches die Einreise in die Schweiz bewilligt, wenn der asylsuchenden Person nicht zugemutet wer­den kann, im Wohnsitz- oder Aufenthaltsstaat zu bleiben oder in ein an­deres Land auszureisen (Art. 20 Abs. 1 und 2 AsylG).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Sachverhaltsermittlung und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Gelegenheit zu geben, sich zu einem abzusehen­den negativen Entscheid zumindest schriftlich zu äussern (vgl. a.a.O. E. 5.7). Schliesslich ist das Bundesamt in jedem Fall gehalten, das Absehen von einer Befragung in der Verfügung über das Asylgesuch zu begrün­den. Der Beschwerdeführer wurde nicht mündlich zu seinen Asylgründen angehört. Die Vorinstanz hat diesen Verzicht in ihrer Verfügung damit begründet, dass der entscheid­relevante Sachverhalt aufgrund der vorliegenden Akten er­stellt sei. Mit Zwi­schenverfügung vom 12. Oktober 2010 hatte das BFM dem Beschwer­deführer das rechtliche Gehör zu dieser Feststellung gewährt und ihm Gelegenheit zur Einreichung einer Stellungnahme geboten, von der er Gebrauch machte. Insgesamt hat das BFM in der angefochtenen Verfügung zu Recht ausge­führt, der entscheidrelevante Sachverhalt sei angesichts der schriftlichen Darlegung und Dokumentierung der Asylgründe und der vom Beschwer­deführer am 2. Dezember 2010 abgegebenen Stellung­nahme rechtsgenüglich erstellt. Sie hat den prozessualen Anforderungen damit Genüge getan.</w:t>
      </w:r>
    </w:p>
    <w:p>
      <w:r>
        <w:rPr>
          <w:b/>
        </w:rPr>
        <w:t>E. 5</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(Art. 3 AsylG).</w:t>
      </w:r>
    </w:p>
    <w:p>
      <w:r>
        <w:rPr>
          <w:b/>
        </w:rPr>
        <w:t>E. 6.1</w:t>
      </w:r>
    </w:p>
    <w:p>
      <w:r>
        <w:t>Das Bundesamt kann ein im Ausland gestelltes Asylgesuch ableh­nen, wenn die asylsuchenden Personen keine Verfolgung glaubhaft ma­chen können oder ihnen die Aufnahme in einem Drittstaat zugemutet wer­den kann (vgl. Art. 3, 7 und 52 [Abs. 2] AsylG).</w:t>
      </w:r>
    </w:p>
    <w:p>
      <w:r>
        <w:rPr>
          <w:b/>
        </w:rPr>
        <w:t>E. 6.2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7.1</w:t>
      </w:r>
    </w:p>
    <w:p>
      <w:r>
        <w:t>Die Vorinstanz führte in ihrer Verfügung aus, der Beschwerdeführer begründe sein Asylgesuch vornehmlich damit, er und seine Familie würden von unbekannten Personen und unbekannten bewaffneten Personen verfolgt. Grundsätzlich sei zu vermerken, dass seit dem Ende der Kriegshandlungen im Mai 2009 die sri-lankische Armee und der Staat bewaffnete Gruppierungen oder Organisationen nicht mehr unterstützen würden. Es komme jedoch vor, dass sich frühere Angehörige solcher Gruppierungen weiterhin kriminell betätigen und die lokale Bevölkerung mit Drohungen und Erpressungsversuchen unter Druck setzen würden. Hierbei handle es sich aber um Verfolgungsmassnahmen durch Dritte, die von den sri-lankischen Behörden geahndet würden. Es bestehe für den Beschwerdeführer daher die Möglichkeit, sich an die lokalen zuständigen Instanzen zu wenden und um Schutz zu ersuchen. Den vorliegenden Akten seien keine Anhalts­punkte zu entnehmen, die mit Bezug auf den Beschwerdeführer auf eine grundsätzliche Schutzunwillig­keit des Staates schliessen lassen würden, zumal dieser persönlich keine Probleme mit den Behörden habe. Die Vorbringen des Beschwerdeführers seien daher gegenwärtig nicht einreiserelevant und aufgrund der vorliegend offensichtlich fehlenden Schutzbedürftigkeit sei darauf zu verzichten, auf allfällig vorhandene Unglaubhaftigkeitselemente in den Asylvorbringen einzugehen.</w:t>
      </w:r>
    </w:p>
    <w:p>
      <w:r>
        <w:rPr>
          <w:b/>
        </w:rPr>
        <w:t>E. 7.2</w:t>
      </w:r>
    </w:p>
    <w:p>
      <w:r>
        <w:t>In der Rechtsmitteleingabe wird im Wesentlichen der Sachverhalt erneut dargelegt sowie die Feststellung des BFM gerügt, dass von staatlicher Seit keine Verfolgung ausgehe. Es gebe nach wie vor Menschenrechtsverletzungen durch die staatlichen Organe und man könne diese nicht um Schutz ersuchen. Er sei in Jaffna, Colombo und Batticaloa bedroht gewesen. Er halte sich nunmehr nahezu im Verborgenen auf und stehe unter einem unerträglichen psychischen Druck. Die Gefahr, weiterhin Verfolgung zu erleiden, sei mit Bezug auf seine Person real vorhanden.</w:t>
      </w:r>
    </w:p>
    <w:p>
      <w:r>
        <w:rPr>
          <w:b/>
        </w:rPr>
        <w:t>E. 8.1</w:t>
      </w:r>
    </w:p>
    <w:p>
      <w:r>
        <w:t>In Würdigung der gesamten Vorbringen ist vorliegend nicht anzuneh­men, dass der Beschwerdeführer in absehbarer Zukunft mit beachtlicher Wahrscheinlichkeit ernsthafte Nachteile im Sinn von Art. 3 AsylG zu befürchten hat: Die von ihm geschilderten Nachteile sind als Übergriffe von dritter Seite zu beurteilen. Wie die Vorinstanz zu Recht festgehalten hat, ist zumindest im heutigen Zeitpunkt davon auszugehen, dass der Beschwerdeführer sich diesbezüglich an die zuständigen behördlichen Stellen wenden und diese um Schutz ersuchen sowie Anzeige gegen Unbekannt erstatten kann, zumal aktuell der sri-lankische Staat als schutzfähig zu beurteilen ist. Den Akten sind keine Hinweise auf eine fehlende Schutzwilligkeit des sri-lankischen Staats zu entnehmen. Es ist zudem festzuhalten, dass die Tötung der Cousine des Beschwerdeführers zu einem Zeitpunkt erfolgte, als sich Sri Lanka im Bürgerkrieg befand. Zudem fällt auf, dass der Beschwerdeführer nach diesem Tötungsdelikt bis (...) mit dem Stellen eines Asylgesuches zugewartet hat, womit der zeitliche und kausale Zusammenhang zwischen diesen beiden Ereignissen mindestens fraglich erscheint. Ungeachtet dessen konnte der Beschwerdeführer sich ab (...) für längere Zeit und mit offizieller Registrierung in Colombo aufhalten. Namentlich dieser Umstand spricht gegen die von ihm nun auf Beschwerdeebene hervorgehobene mögliche Bedrohungssituation von staatlicher Seite. Vielmehr ist aufgrund der vorliegenden Akten davon auszugehen, dass der Beschwerdeführer nicht mit beachtlicher Wahrscheinlichkeit in naher Zukunft mit staatlicher - oder staatlich geduldeter privater - Verfolgung rechnen muss. Soweit es allenfalls zu staatlichen Kontrollmassnahmen kommen kann, wären diese vor dem Hintergrund der weiterhin angespannten Situation in Sri Lanka zu beurteilen: Die Sicherheitsmassnahmen wurden nach dem militärischen Sieg der sri-lan­ki­schen Armee über die LTTE im Mai 2009 nur langsam gelockert, Notstandsgesetze (Emergency Rules) - wenn auch in abgeschwächter Form - und das Anti-Terror-Gesetz (Prevention of Terrorism Act) blieben in Kraft (vgl. Urteil D-70/2011 vom 23. Februar 2011 E. 6.2 mit weiteren Hinweisen). Indessen weist der Beschwerdeführer kein besonderes Risikoprofil auf, das ihn aktuell in objektiver Sicht als gefährdet erscheinen liesse. Allfälligen Sicherheitskontrollen der sri-lankischen Sicherheitskräfte wäre mangels Intensität grundsätzlich der Verfolgungscharakter abzusprechen, weshalb sie keine ernsthaften Nachteile im Sinn des Gesetzes darstellen würden.</w:t>
      </w:r>
    </w:p>
    <w:p>
      <w:r>
        <w:rPr>
          <w:b/>
        </w:rPr>
        <w:t>E. 8.2</w:t>
      </w:r>
    </w:p>
    <w:p>
      <w:r>
        <w:t>Insgesamt ist der Schluss zu ziehen, dass der Beschwerdeführer von der auch aktuell teilweise schwierigen Situation im Heimatstaat wie die anderen Mitbewohner betroffen war. Den geltend gemachten lokalen Behelli­gungen konnte der Beschwerdeführer zudem bisher durch Wegzug in andere Regionen des Heimatstaates erfolgreich ausweichen. Der Wunsch des Beschwerdeführers nach ei­ner geregelteren und sicheren Zukunft ist verständlich, vermag allerdings nicht zu einer Bewilligung der Einreise zu führen.</w:t>
      </w:r>
    </w:p>
    <w:p>
      <w:r>
        <w:rPr>
          <w:b/>
        </w:rPr>
        <w:t>E. 8.3</w:t>
      </w:r>
    </w:p>
    <w:p>
      <w:r>
        <w:t>Nach dem Gesagten kann von keinen Nachteilen ausgegangen wer­den, die den weiteren Verbleib des Beschwerdeführers in ihrem Heimat­staat als unzumutbar erscheinen (vgl. Art. 20 Abs. 2 AsylG) oder die gar auf eine unmittelbare Gefahr für Leib und Leben schliessen liessen.</w:t>
      </w:r>
    </w:p>
    <w:p>
      <w:r>
        <w:rPr>
          <w:b/>
        </w:rPr>
        <w:t>E. 8.4</w:t>
      </w:r>
    </w:p>
    <w:p>
      <w:r>
        <w:t>Hinzu kommt, dass der Beschwerdeführer in seinem Gesuch auch keine besonders nahen persönlichen Beziehungen zur Schweiz geltend gemacht hat.</w:t>
      </w:r>
    </w:p>
    <w:p>
      <w:r>
        <w:rPr>
          <w:b/>
        </w:rPr>
        <w:t>E. 8.5</w:t>
      </w:r>
    </w:p>
    <w:p>
      <w:r>
        <w:t>Unter diesen gesamten Umständen hat die Vorinstanz zu Recht die Er­teilung der Einreisebewilligung verweigert und das Asylgesuch des Be­schwerdeführers abgewiesen.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