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E-1849/2016 vom 8. Dezember 2016</w:t>
      </w:r>
    </w:p>
    <w:p>
      <w:r>
        <w:t>Bundesverwaltungsgericht, 2016-12-08, FR</w:t>
      </w:r>
    </w:p>
    <w:p>
      <w:r>
        <w:rPr>
          <w:b/>
        </w:rPr>
        <w:t xml:space="preserve">Quelle: </w:t>
      </w:r>
      <w:r>
        <w:t>https://mcp.opencaselaw.ch/entscheid/bvger_E-1849_2016</w:t>
      </w:r>
    </w:p>
    <w:p>
      <w:r>
        <w:t>FR: TAF E-1849/2016 du 8 décembre 2016</w:t>
      </w:r>
    </w:p>
    <w:p>
      <w:r>
        <w:t>IT: TAF E-1849/2016 del 8 dicembre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la pertinence et le sérieux de leurs motifs.</w:t>
      </w:r>
    </w:p>
    <w:p>
      <w:r>
        <w:rPr>
          <w:b/>
        </w:rPr>
        <w:t>E. 3.2</w:t>
      </w:r>
    </w:p>
    <w:p>
      <w:r>
        <w:t>Certes, contrairement à l'appréciation du SEM, le Tribunal ne voit pas de raisons fondamentales de douter de la vraisemblance du récit. En effet, il n'est pas exclu qu'après le premier vol du véhicule, les responsables aient renoncé à obtenir du recourant les 30.000 livres réclamées, devant sa claire incapacité à payer cette somme. De même, l'intéressé a parfaitement pu, lors du deuxième vol, recourir à l'aide de ses proches pour verser la rançon réclamée. Il n'est pas non plus invraisemblable que le recourant ait considéré comme inutile de se plaindre une nouvelle fois à la police, après ce second vol, mais qu'il ait accompli cette démarche une fois que des menaces d'ordre personnel aient été adressées à sa famille. A ce sujet, sans se prononcer sur l'authenticité de la déclaration de plainte du (...) novembre 2014, produite en copie, le Tribunal constate que le SEM, se limitant à relever « qu'un tel document peut aisément être acquis illégalement » pour en mettre en doute l'authenticité, n'a pas motivé sa position de manière suffisante. Enfin, faisant grief aux intéressés de n'avoir pas décrit assez précisément ceux qui les menaçaient, l'autorité de première instance n'a pas tenu compte du fait qu'ils ne les ont aperçus que brièvement et de manière indistincte, ainsi que l'ont relaté tant le recourant que son épouse.</w:t>
      </w:r>
    </w:p>
    <w:p>
      <w:r>
        <w:rPr>
          <w:b/>
        </w:rPr>
        <w:t>E. 3.3</w:t>
      </w:r>
    </w:p>
    <w:p>
      <w:r>
        <w:t>L'essentiel est cependant ailleurs. Les intéressés font valoir qu'ils ont été menacés par les militants de mouvements islamistes non précisés, en raison de leur affiliation religieuse. L'examen de leur récit ne révèle cependant aucun indice dans ce sens, les responsables ayant toujours agi, à en croire les recourants, dans un but purement crapuleux d'extorsion financière : ils n'auraient jamais fait état de leur appartenance à un courant islamiste, ni reproché aux époux (...) leur foi chrétienne. Le Tribunal n'exclut pas formellement que les intéressé aient également été ciblés par ces tentatives d'extorsion en raison de leur appartenance à la communauté copte, dans l'idée qu'ils obtiendraient plus difficilement l'aide des autorités ou n'oseraient pas la leur demander, et seraient ainsi plus vulnérables aux pressions. Toutefois, aucun élément de la cause ne permet de retenir que les auteurs des menaces aient été mus, en tout cas à titre principal, par une intention persécutrice en relation avec la religion des recourants. Rien n'atteste d'ailleurs qu'il se soit à chaque fois agi des mêmes personnes. En conséquence, un motif de persécution avéré prévu par l'art. 3 LAsi - en l'espèce, l'appartenance religieuse est le seul envisageable - fait défaut.</w:t>
      </w:r>
    </w:p>
    <w:p>
      <w:r>
        <w:rPr>
          <w:b/>
        </w:rPr>
        <w:t>E. 3.4</w:t>
      </w:r>
    </w:p>
    <w:p>
      <w:r>
        <w:t>A cela s'ajoute que les intéressés n'ont été exposés à aucun préjudice personnel, quand bien même A._______ n'aurait d'abord pas déféré aux ordres qui lui étaient intimés. Les auteurs des menaces ne sont jamais passés à des atteintes plus graves, durant plusieurs mois, alors que cela ne leur aurait pas été difficile, le nom, l'adresse et l'activité professionnelle du recourant leur étant connus. Par ailleurs, les menaces n'étaient ni assez graves, ni assez nombreuses, ni assez prolongées pour être qualifiées de pressions psychiques insupportables (cf. à ce sujet ATAF 2010/28 consid. 3.3.1.1 p. 400-401 et réf. cit.). Le Tribunal considère dès lors que les recourants n'ont pas été exposés à un risque manifeste de persécution avant leur départ, et que rien n'indique qu'ils le soient en cas de retour ; le fait de ne pas se réinstaller à Assiout devrait d'ailleurs suffire à leur éviter d'être visés par de nouvelles menaces analogues.</w:t>
      </w:r>
    </w:p>
    <w:p>
      <w:r>
        <w:rPr>
          <w:b/>
        </w:rPr>
        <w:t>E. 3.5</w:t>
      </w:r>
    </w:p>
    <w:p>
      <w:r>
        <w:t>Par ailleurs, les membres de la communauté copte ne sont pas exposés comme tels à la persécution, et ils peuvent requérir l'assistance des autorités de police en cas de nécessité. Certes, les Coptes, qui regroupent 10% de la population égyptienne (30% à Assiout), sont en butte à la discrimination dans le domaine professionnel, l'accès à la fonction publique leur étant limité, et rencontrent des obstacles dans leur pratique religieuse. L'islam étant religion d'Etat, le prosélytisme pour d'autres croyances est interdit, la conversion n'est pas reconnue, et la construction (ou la réfection) d'églises est soumise à autorisations, difficiles à obtenir (cf. US State Department, International Religious Freedom Report, 2015). La situation s'est toutefois modifiée depuis 2013, époque à laquelle la crise consécutive à la destitution du président Morsi a entraîné de graves affrontements intercommunautaires, lors desquels plusieurs Coptes ont été enlevés ou tués, et un grand nombre de lieux de culte détruits. Les Coptes ont alors éprouvé des difficultés à obtenir l'assistance des autorités et à obtenir réparation. La situation s'est améliorée durant les années suivantes, bien que la discrimination n'ait pas disparu, et que d'occasionnelles procédures pénales contre des Coptes actifs au sein de leur communauté soient encore ouvertes, pour « blasphème » ou « mépris de la religion ». Des agressions contre les chrétiens ont encore lieu, en particulier dans les zones rurales de Haute-Egypte (provinces d'Assiout et surtout de Minya), ainsi que des attaques contre des églises, y compris au Caire. Les coupables de ces exactions ne sont pas toujours poursuivis avec efficacité, les autorités préférant recourir à des procédures de conciliation plutôt qu'à la justice pénale (cf. Commission de l'immigration et du statut de réfugié du Canada, Egypt : Situation of Coptic Christians, including treatment ; state protection available, mai 2015 ; Austrian Centre for Country of Origin and Asylum Research and Documentation, Ägypten : Lage der KoptInnen, mai 2016 ; Le Monde, « Le désarroi des Coptes d'Egypte », 17 novembre 2016). Episodiquement, des affrontements entre Coptes et policiers ont eu lieu en 2014 et 2015, entraînant plusieurs décès. Cette situation parfois difficile de la communauté copte ne permet toutefois pas de retenir l'existence d'un risque de persécution pour chacun de ses membres. Dans son arrêt M. E. c. France du 6 juin 2013 (n° 50094/10), la Cour européenne des droits de l'homme a admis (ch. 50) qu'on ne pouvait conclure à un risque généralisé, pour tous les Coptes, de subir en cas de retour en Egypte un traitement contraire à l'art. 3 CEDH. Dans le cas d'espèce, ce risque avait cependant été retenu, s'agissant d'un prosélyte actif, déjà condamné pour ce motif (ch. 51-52). Le Tribunal a fait sienne cette appréciation (cf. arrêt D-2054/2013 du 20 février 2014 ; D-2034/2014 du 17 juin 2014 ; pour une description de la situation, cf. arrêt E-1140/2013 du 25 novembre 2014, consid. 8.5.2). Dans le cas des recourants, qui ne se sont pas manifestés par un engagement confessionnel d'une particulière intensité, et n'ont fait l'objet d'aucune procédure trouvant son fondement dans leur affiliation religieuse, l'existence d'un risque de persécution ne peut être retenue. Ils allèguent certes que la police ne leur accorderait pas sa protection ; cette assertion n'est cependant en rien étayée. En effet, dans la situation actuelle où le gouvernement égyptien a opté pour une lutte résolue contre les mouvements islamistes, considérés comme des soutiens du président déchu en juin 2013, il n'est pas plausible que la police tolère sciemment les menées de ces groupes ou refuse sa protection à leurs victimes. Dans ce contexte, aucun d'entre eux ne dispose d'ailleurs d'un pouvoir de fait suffisant, ou se trouve assez structuré et puissant, pour être en mesure d'infliger une persécution.</w:t>
      </w:r>
    </w:p>
    <w:p>
      <w:r>
        <w:rPr>
          <w:b/>
        </w:rPr>
        <w:t>E. 3.6</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constate, comme déjà relevé plus haut, que le récit des intéressés, dénué de la pertinence nécessaire, ne permet pas de retenir des risques de cette nature ; en outre, comme l'a posé la jurisprudence de la Cour européenne des droits de l'Homme, reprise par le Tribunal, la seule appartenance des recourants à la communauté copte n'est pas, en soi, de nature à leur faire courir des dangers excluant l'exécution du renvoi. Dès lors, cette exécution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si l'Egypte est touchée par de fortes tensions politiques et socio-économiques, elle ne connaît pas pour autant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S'agissant de l'état de santé des intéressés,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LEtr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(ATAF 2011/50 consid. 8.3; 2009/2 consid. 9.3.2).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 Jurisprudence et informations de la Commission suisse de recours en matière d'asile [JICRA] 2003 n° 24 consid. 5b).</w:t>
      </w:r>
    </w:p>
    <w:p>
      <w:r>
        <w:rPr>
          <w:b/>
        </w:rPr>
        <w:t>E. 7.4</w:t>
      </w:r>
    </w:p>
    <w:p>
      <w:r>
        <w:t>Dans le cas d'espèce, A._______ a été traité en Egypte, puis en Suisse, pour une fistule intestinale, qui a nécessité une intervention chirurgicale de grande ampleur en février 2015, soit il y a presque deux ans. Selon le rapport médical du (...) janvier 2016, l'intéressé souffrait néanmoins d'une éventration et d'une hernie, qui a entraîné une hospitalisation au mois de mars suivant ; celle-ci résultait manifestement de l'opération viscérale préconisée dans ce rapport, et tendant à corriger ces anomalies. L'intéressé présentait également des problèmes cardiaques, sans causes décelables, ainsi qu'une anémie. Depuis lors, le recourant ne semble plus souffrir de problèmes physiques sérieux ; le rapport du (...) janvier précisait d'ailleurs que le traitement médicamenteux encore appliqué « pourrait être effectué dans le pays d'origine », ce qui vaut aussi pour les contrôles cardiaques conseillés par les thérapeutes. L'état de l'intéressé ne constitue donc plus un obstacle à l'exécution du renvoi. Au plan psychologique, selon les rapports des (...) janvier et (...) mars 2016, le recourant manifestait les signes d'un état anxio-dépressif, avec un risque suicidaire ; son état nécessitait un traitement par médicaments, à adapter selon les circonstances, et une prise en charge psychothérapeutique devant durer un an, ainsi qu'une psychothérapie familiale. Depuis lors, aucun renseignement nouveau n'a été fourni, les intéressés n'ayant d'ailleurs pas exercé leur droit de réplique, ce qui fonde le Tribunal à considérer que les traitements entrepris se sont maintenant achevés avec succès. Dans tous les cas, les médicaments qui pourraient être encore nécessaires au recourant peuvent lui être fournis dans le cadre d'une aide au retour appropriée. S'agissant du suivi psychothérapeutique, il n'est certes pas attesté qu'il soit disponible, dans le pays d'origine, dans des conditions aussi satisfaisantes qu'en Suisse. Toutefois, il ne s'agit pas là de soins d'urgence, absolument indispensables, dont l'absence serait de nature à mettre concrètement la vie ou la santé du recourant en danger de manière pressante. Cela étant, une prise en charge psychothérapeutique est possible en Egypte, essentiellement dans la région du Caire, où sont actifs plusieurs hôpitaux psychiatriques (cf. notamment United Nations Development Programme [UNDP], Egypt Human Development Report 2005, p. 71ss ; World Health Organisation [OMS], Mental Health Atlas2005, p. 176ss, spéc. 177). Il est également à noter que l'intéressé pourra recourir au soutien de ses deux frères, la famille de sa femme se trouvant également à Assiout. Quant à l'épouse, selon rapport du (...) janvier 2016, elle souffrait d'un syndrome fibromyalgique, justiciable d'un traitement médicamenteux, et d'un syndrome dépressif mineur, dont le suivi psychiatrique devait se poursuivre jusqu'en novembre 2016 ; il est dès lors parvenu à son terme. L'état de l'intéressée, dans tous les cas, n'est pas à ce point grave qu'il empêche son retour en Egypte.</w:t>
      </w:r>
    </w:p>
    <w:p>
      <w:r>
        <w:rPr>
          <w:b/>
        </w:rPr>
        <w:t>E. 7.5</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