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E-1847/2012 vom 16. April 2012</w:t>
      </w:r>
    </w:p>
    <w:p>
      <w:r>
        <w:t>Bundesverwaltungsgericht, 2012-04-16, DE</w:t>
      </w:r>
    </w:p>
    <w:p>
      <w:r>
        <w:rPr>
          <w:b/>
        </w:rPr>
        <w:t xml:space="preserve">Quelle: </w:t>
      </w:r>
      <w:r>
        <w:t>https://mcp.opencaselaw.ch/entscheid/bvger_E-1847_2012</w:t>
      </w:r>
    </w:p>
    <w:p>
      <w:r>
        <w:t>FR: TAF E-1847/2012 du 16 avril 2012</w:t>
      </w:r>
    </w:p>
    <w:p>
      <w:r>
        <w:t>IT: TAF E-1847/2012 del 16 aprile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Beschwerdeführerin ist als Verfügungsadressatin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In der angefochtenen Verfügung stellt die Vorinstanz fest, der Abgleich der Fingerabdrücke mit der Zentraleinheit Eurodac habe ergeben, dass die Beschwerdeführerin am 28. März 2011 in Italien ein Asylgesuch eingereicht habe. Die italienischen Behörden hätten innerhalb der festgelegten Frist zum Übernahmeersuchen des BFM keine Stellung genommen, womit die Zuständigkeit für die Durchführung des Asyl- und Wegweisungsverfahrens an Italien übergegangen sei. Es obliege den italienischen Behörden, den Aufenthaltsstatus zu regeln oder die Wegweisung der Beschwerdeführerin ins Heimatland anzuordnen. Ein abgeschlossenes Asyl- und Wegweisungsverfahren in Italien vermöge keine Änderung der Zuständigkeit bewirken (Art. 16 Abs. 1 Bst. d der Verord­nung (EG) Nr. 343/2003 des Rates vom 18. Februar 2003 zur Festle­gung der Kriterien und Verfahren zur Bestimmung des Mitglied­staats, der für die Prüfung eines von einem Drittstaatsangehörigen in ei­nem Mitglied­staat gestellten Asylantrags zuständig ist [Dublin II-VO]). Zur Zumutbarkeit des Vollzugs der Wegweisung nach Italien führt die Vorinstanz aus, die Beschwerdeführerin könne sich betreffend Unterbringung, finanzielle Unterstützung und wegen ihrer gesundheitlichen Probleme an die zuständigen italienischen Behörden wenden. Im Übrigen seien die Kinder im Zusammenhang mit ihrer grippalen Erkrankung im Spital von D._______ behandelt worden.</w:t>
      </w:r>
    </w:p>
    <w:p>
      <w:r>
        <w:rPr>
          <w:b/>
        </w:rPr>
        <w:t>E. 3.2</w:t>
      </w:r>
    </w:p>
    <w:p>
      <w:r>
        <w:t>In der Rechtsmitteleingabe vom 5. April 2012 verweist die Beschwerdeführerin vollumfänglich auf die Ausführungen in der Beschwerdeschrift vom 2. April 2012. Darin verweist sie auf ihr seit Geburt bestehendes körperliches Gebrechen ([...]). Zudem verweist sie auf die schwierigen Lebensbedingungen in Italien (Wohnsituation, mangelnde Verpflegung, hygienische Bedingungen). Schliesslich befürchtet sie, die italienischen Behörden würden ihren negativen Asylentscheid vollziehen und sie zusammen mit den Kindern nach Eritrea zurückschaffen.</w:t>
      </w:r>
    </w:p>
    <w:p>
      <w:r>
        <w:rPr>
          <w:b/>
        </w:rPr>
        <w:t>E. 3.3</w:t>
      </w:r>
    </w:p>
    <w:p>
      <w:r>
        <w:t>Aufgrund der Akten ist festzustellen, dass betreffend die Beschwerdeführerin bereits ein rechtkräftiges Urteil des Bundesverwaltungsgerichts vom 30. November 2011 (Nichteintreten auf Asylgesuch und Wegweisung [Dublin-Verfahren]) vorliegt. Gemäss dem sich aus dem Dublin-System ergebenden Grundsatz "One Chance Only", sollen Asylsuchende nach einem erfolglos verlaufenen Asylverfahren innerhalb des Dublin-Raums nicht nochmals ein neues Verfahren in einem anderen Mitgliedstaat anstrengen können. Wie die Vorinstanz in der angefochtenen Verfügung zu Recht festgestellt hat, bestehen keine Anhaltspunkte dafür, dass die italienischen Behörden das Asylverfahren der Beschwerdeführerin nicht korrekt oder unter Verletzung völkerrechtlicher Bestimmungen durchgeführt hätten beziehungsweise durchführen würden. Weiter ist festzuhalten, dass die Beschwerdeführerin in ihrem erneuten Asylverfahren nichts vorbringt, was nicht bereits durch das Gericht beurteilt worden ist. Damit sind alle relevant erscheinenden Vorbringen (inkl. Selbsteintrittsrecht) mit Rechtskraft belegt. Ausnahme bildet einzig das Vorbringen, der Ehemann habe die Beschwerdeführerin und die Kinder nach der erneuten Einreise in die Schweiz verlassen beziehungsweise sei verschwunden. Dieses Vorbringen ist offensichtlich tatsachenwidrig, hat der Ehemann der Beschwerdeführerin doch zwischenzeitlich ebenfalls ein weiteres Asylgesuch in der Schweiz eingereicht. Dass die Vorinstanz auf dieses Vorbringen (Verschwinden des Ehemannes) in der angefochtenen Verfügung nicht eingegangen ist, ist sodann nicht zu beanstanden. Eine Verletzung der Begründungspflicht und damit des rechtlichen Gehörs liegt nicht vor, muss sich doch die verfügende Behörde nicht ausdrücklich mit jeder tatbeständlichen Behauptung und jedem rechtlichen Einwand auseinandersetzen, sondern darf sich auf die wesentlichen Gesichtspunkte beschränken (BGE 126 I 97 E. 2b). Bei dieser Sachlage ist im Rahmen der summarischen Begründung des vorliegenden Verfahrens vollumfänglich auf die zutreffenden Erwägungen in der angefochtenen Verfügung zu verweisen und die offensichtlich unbegründete Beschwerde abzuweisen.</w:t>
      </w:r>
    </w:p>
    <w:p>
      <w:r>
        <w:rPr>
          <w:b/>
        </w:rPr>
        <w:t>E. 3.4</w:t>
      </w:r>
    </w:p>
    <w:p>
      <w:r>
        <w:t>Aus dem Gesagten ergibt sich, dass das BFM zu Recht nicht auf das Asylgesuch der Beschwerdeführerin eingetreten ist. Mit dem Entscheid in der Hauptsache sind der Antrag auf Erteilung der aufschiebenden Wirkung der Beschwerde sowie das Gesuch um vorsorgliche Massnahmen gegenstandlos geworden.</w:t>
      </w:r>
    </w:p>
    <w:p>
      <w:r>
        <w:rPr>
          <w:b/>
        </w:rPr>
        <w:t>E. 4</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5.1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Insoweit fehlen auch die Voraussetzungen zur Gewährung der unentgeltlichen Verbeiständung. Den Gesuchen um Gewährung der unentgeltlichen Rechtspflege gemäss Art. 65 Abs. 1 und 2 VwVG ist somit nicht stattzugeben.</w:t>
      </w:r>
    </w:p>
    <w:p>
      <w:r>
        <w:rPr>
          <w:b/>
        </w:rPr>
        <w:t>E. 5.2</w:t>
      </w:r>
    </w:p>
    <w:p>
      <w:r>
        <w:t>Bei diesem Ausgang des Verfahrens sind die Kosten von Fr. 600. - (Art. 1 - 3 des Reglements vom 21. Februar 2008 über die Kosten und Entschädigungen vor dem Bundesverwaltungsgericht [VGKE], SR 173.320.2) der Beschwerdeführerin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