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E-1839/2017 vom 11. Mai 2017</w:t>
      </w:r>
    </w:p>
    <w:p>
      <w:r>
        <w:t>Bundesverwaltungsgericht, 2017-05-11, FR</w:t>
      </w:r>
    </w:p>
    <w:p>
      <w:r>
        <w:rPr>
          <w:b/>
        </w:rPr>
        <w:t xml:space="preserve">Quelle: </w:t>
      </w:r>
      <w:r>
        <w:t>https://mcp.opencaselaw.ch/entscheid/bvger_E-1839_2017</w:t>
      </w:r>
    </w:p>
    <w:p>
      <w:r>
        <w:t>FR: TAF E-1839/2017 du 11 mai 2017</w:t>
      </w:r>
    </w:p>
    <w:p>
      <w:r>
        <w:t>IT: TAF E-1839/2017 del 11 maggio 2017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</w:t>
      </w:r>
    </w:p>
    <w:p>
      <w:r>
        <w:rPr>
          <w:b/>
        </w:rPr>
        <w:t>E. 2</w:t>
      </w:r>
    </w:p>
    <w:p>
      <w:r>
        <w:t>Il est enjoint au SEM de convoquer la recourante et de rendre une décision sur la demande d'asile de celle-ci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