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E-1833/2010 vom 16. November 2011</w:t>
      </w:r>
    </w:p>
    <w:p>
      <w:r>
        <w:t>Bundesverwaltungsgericht, 2011-11-16, DE</w:t>
      </w:r>
    </w:p>
    <w:p>
      <w:r>
        <w:rPr>
          <w:b/>
        </w:rPr>
        <w:t xml:space="preserve">Quelle: </w:t>
      </w:r>
      <w:r>
        <w:t>https://mcp.opencaselaw.ch/entscheid/bvger_E-1833_2010</w:t>
      </w:r>
    </w:p>
    <w:p>
      <w:r>
        <w:t>FR: TAF E-1833/2010 du 16 novembre 2011</w:t>
      </w:r>
    </w:p>
    <w:p>
      <w:r>
        <w:t>IT: TAF E-1833/2010 del 16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stellte das Bundesamt fest, dass sich die vom Beschwerdeführer eingereichte Identitätskarte als Fälschung erwiesen habe. Zudem sei der begutachtende Experte zum Schluss gekommen, er sei nicht, wie von ihm behauptet, in der Region D._______, sondern im kurdischen Nordirak sozialisiert worden. Die Erklärungen des Beschwerdeführers in seiner diesbezüglichen Stellungnahme vermöchten nicht zu überzeugen. Auch von einer jugendlichen Person könnten gewisse Kenntnisse von deren Heimatort erwartet werden. Zudem vermöge er das eindeutige Ergebnis der Sprachanalyse nicht zu widerlegen. Die eingereichten Fotos seien nicht geeignet, seine Herkunft zu beweisen. Dem Todesschein des Vaters, welcher in D._______ ausgestellt worden sein solle, komme wegen der leichten Beschaffbarkeit derartiger Dokument im Heimatstaat des Beschwerdeführers nur ein sehr geringer Beweiswert zu. Aus diesen Gründen sei davon auszugehen, dass der Beschwerdeführer entgegen seiner Behauptung nicht in D._______ sondern im Nordirak aufgewachsen sei. Damit sei seinen Asylvorbringen jegliche Grundlage entzogen und seine Vorbringen seien als tatsachenwidrig zu bewerten. Die am Sachverständigen geäusserte Kritik könne nicht gehört werden und der Antrag auf ein erneutes Gutachten durch eine anderen Sachverständigen sei demnach abzuweisen. Im Übrigen sei festzustellen, dass er zu wesentlichen Punkten widersprüchliche Angaben gemacht habe, so zur Frage, ob er im Irak noch Verwandte habe und zu den Umständen des Todes seiner beiden Freunde. Die seiner Familie angeblich zugestellten Drohbriefe habe er zudem anlässlich der Empfangsstellenbefragung nicht erwähnt, obwohl es sich um ein wesentliches Vorbringen handle. Die Vorbringen des Beschwerdeführers vermöchten demnach den Anforderungen an die Glaubhaftmachung gemäss Art. 7 AsylG nicht zu genügen. Im Weiteren würden sich aus den Akten keine Anhaltspunkte dafür ergeben, dass ihm im Heimatstaat eine gemäss Art. 3 der Konvention vom 4. November 1950 zum Schutze der Menschenrechte und Grundfreiheiten (EMRK, SR 0.101) verbotene Strafe oder Behandlung drohe und der Wegweisungsvollzug in die nordirakischen Provinzen Dohuk, Erbil und Suleymania sei grundsätzlich als zumutbar zu erachten. Eine Prüfung der individuellen Situation des Beschwerdeführers sei nicht möglich, da er seine wahre Herkunft zu verschleiern versuche.</w:t>
      </w:r>
    </w:p>
    <w:p>
      <w:r>
        <w:rPr>
          <w:b/>
        </w:rPr>
        <w:t>E. 4.2</w:t>
      </w:r>
    </w:p>
    <w:p>
      <w:r>
        <w:t>Zur Begründung seiner Beschwerde rügte der Beschwerdeführer, das Bundesamt habe falsche Anforderungen an die Glaubhaftmachtung gestellt. Es habe die Pflicht, auch die für seine Glaubwürdigkeit sprechenden Umstände zu würdigen, verletzt, indem es nur diejenigen Elemente berücksichtigt habe, welche aus seiner Sicht gegen die Glaubhaftigkeit seiner Aussagen sprechen würden. Es werde daran festgehalten, dass die eingereichte Identitätskarte von der zuständigen Amtsstelle ausgestellt worden sei. Auch wenn es sich bei dieser um eine Fälschung handle, könne demnach daraus nicht auf die Unglaubhaftigkeit seiner Vorbringen geschlossen werden. Seine Herkunft aus D._______ sei auch aus dem Todesschein seines Vaters und dem zwischenzeitlich beschafften Geburtsschein ersichtlich. Es gehe nicht an, dem Todesschein keinen massgeblichen Beweiswert beizumessen. Hinsichtlich der ihm von der Vorinstanz vorgeworfenen mangelhaften Kenntnisse seines Herkunftsorts D._______ sowie der Analyse seiner Sprachkenntnisse werde auf die Ausführungen in der Stellungnahme vom 3. Dezember 2009 verwiesen. Sollte weiterhin an seiner Herkunft aus E._______ gezweifelt werden, werde die Rückweisung der Sache an die Vorinstanz zur Durchführung einer Sprachanalyse mit einem qualifizierten Sachverständigen beantragt, zumal in der angefochtenen Verfügung die Kritik am Verfasser der ersten Analyse ohne Angabe von Gründen zurückgewiesen worden sei. Hinsichtlich der ihm vorgeworfenen Widersprüche sei zu berücksichtigen, dass es sich um solche zwischen seinen Aussagen bei der ersten Befragung an der Empfangsstelle und bei der Anhörung durch das BFM handle. Die erste Befragung sei aber nur summarisch gewesen und zudem habe er den Dolmetscher nur schlecht verstanden, da er einen anderen Dialekt gesprochen und nur gemurmelt habe. Dies habe er bereits anlässlich der Anhörung durch das BFM zu Protokoll gegeben, weshalb dies nicht als nachgeschobene Schutzbehauptung qualifiziert werden könne. Zu beachten sei schliesslich auch, dass er bei der ersten Befragung erst (...)-jährig gewesen und durch die vorangegangenen Erlebnisse verunsichert gewesen sei. Dass er die Drohbriefe bei der Empfangsstellenbefragung nicht erwähnt habe, sei in Anbetracht dieser Umstände nachvollziehbar. Im Weiteren werde auf seine Ausführungen zu den Widersprüchen anlässlich der Anhörung durch das BFM verwiesen. Seine Ausführungen seien demnach entgegen der Auffassung der Vorinstanz als glaubhaft zu erachten und es sei vom Bestehen einer asylrelevanten Verfolgung auszugehen. Sollte die Asylrelevanz seiner Vorbringen verneint werden, sei ihm diesbezüglich das rechtliche Gehör zu gewähren. Im Weiteren sei der Vollzug der Wegweisung als unzumutbar zu erachten. Nachdem seine Eltern verstorben seien, wäre er im Irak auf sich alleine gestellt und er wäre, zumal in Anbetracht der nach wie vor unsicheren Lage in seinem Heimatland, nicht in der Lage, sich eine Existenz aufzubauen.</w:t>
      </w:r>
    </w:p>
    <w:p>
      <w:r>
        <w:rPr>
          <w:b/>
        </w:rPr>
        <w:t>E. 5.1</w:t>
      </w:r>
    </w:p>
    <w:p>
      <w:r>
        <w:t>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(vgl. Entscheidungen und Mitteilungen der Schweizerischen Asylrekurskommission [EMARK] 2004 Nr. 1 E. 5 S. 4 ff.).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(vgl. EMARK 2004 Nr. 1 E 5 S. 4 ff., mit weiteren Hinweisen, EMARK 1993 Nr. 21 S. 134 ff., EMARK 1993 Nr. 11 S. 67 ff.).</w:t>
      </w:r>
    </w:p>
    <w:p>
      <w:r>
        <w:rPr>
          <w:b/>
        </w:rPr>
        <w:t>E. 5.2</w:t>
      </w:r>
    </w:p>
    <w:p>
      <w:r>
        <w:t>Das Bundesverwaltungsgericht anerkennt LINGUA-Analysen des BFM nicht als Sachverständigengutachten (Art. 12 Bst. e VwVG; Art. 57 ff. des Bundesgesetzes vom 4. Dezember 1947 über den Bundeszivilprozess [BZP, SR 273] i.V.m. Art. 19 VwVG), sondern als schriftliche Auskünfte einer Drittperson (Art. 12 Bst. c VwVG; Art. 49 BZP i.V.m. Art. 19 VwVG), misst ihnen indessen sofern bestimmte Anforderungen an die fachliche Qualifikation, Objektivität und Neutralität des Experten wie auch an die inhaltliche Schlüssigkeit und Nachvollziehbarkeit der Analyse erfüllt sind erhöhten Beweiswert zu (vgl. EMARK 2003 Nr. 14 E. 7, EMARK 1998 Nr. 34). Demnach sind LINGUA-Analysen grundsätzlich geeignet, den Nachweis einer Herkunftstäuschung zu erbringen (vgl. EMARK 1999 Nr. 19 E. 3d). Die LINGUA-Analyse vom 26. Juni 2009 (Telefongespräch) respektive 17. August 2009 (Analyse) ist fundiert, sehr differenziert und in allen Teilen der Begründung überzeugend ausgefallen. Sie gibt zu keinen Beanstandungen Anlass. Der eingesetzte Gutachter verfügt gemäss Aktenlage über vertiefte Kenntnisse von Syrien und Kurdistan, hat analyserelevante Kenntnisse der kurdischen und arabischen Sprachen und hat insgesamt 48 Jahre in der zu analysierenden Region verbracht. Zudem verfügt er über eine universitäre Ausbildung in Linguistik. Es liegen demnach entgegen der Auffassung des Beschwerdeführers keine Gründe vor, an der Qualifikation des Gutachters insbesondere hinsichtlich der Analyse seiner sprachlichen Sozialisation zu zweifeln. Der Antrag auf Durchführung einer neuen Sprachanalyse durch einen anderen Gutachter ist somit abzuweisen. Der Beschwerdeführer vermochte der vom Gutachter getroffenen Einschätzung weder im Rahmen des rechtlichen Gehörs zum Ergebnis der Analyse noch in seiner Beschwerdeeingabe stichhaltige Argumente entgegenzuhalten. Insbesondere wären auch unter Berücksichtigung seines jungen Alters grundlegende Kenntnisse der geographischen Gegebenheiten und Lebens- und Sprachgewohnheiten seiner angeblichen Herkunftsregion D._______ zu erwarten, zumal er nach seiner Darstellung während acht Jahren dort die Schule besuchte und soziale Kontakte auch ausserhalb seiner Familie pflegte. Der Einsicht in den Wortlaut einer LINGUA-Analyse stehen überwiegende öffentliche Geheimhaltungsinteressen entgegen (vgl. EMARK 1998 Nr. 34 E. 9 b). Das BFM hat in seiner Verfügung vom 6. November 2009, mit welcher dem Beschwerdeführer Gelegenheit zur Stellungnahme zum Abklärungsergebnis gewährt wurde, den wesentlichen Inhalt des Gutachtens vom 17. August 2009 in hinreichendem Umfang wiedergegeben und damit den Grundsätzen des rechtlichen Gehörs und des fairen Prozesses Genüge getan (EMARK 2003 Nr. 14 E. 9). Der Antrag des Beschwerdeführers auf Offenlegung, welche seiner Angaben zu den von ihm erwähnten Schulen sowie zur irakischen Währung unzutreffend seien, ist demnach abzuweisen. Nach dem Gesagten hat sich die Vorinstanz zu Recht auf das Ergebnis der LINGUA-Analyse abgestützt, wonach der Beschwerdeführer entgegen seinen Angaben nicht in D._______ sondern höchstwahrscheinlich in der Provinz Dohuk sozialisiert wurde.</w:t>
      </w:r>
    </w:p>
    <w:p>
      <w:r>
        <w:rPr>
          <w:b/>
        </w:rPr>
        <w:t>E. 5.3</w:t>
      </w:r>
    </w:p>
    <w:p>
      <w:r>
        <w:t>Das Ergebnis der Herkunfts-Analyse wird dadurch erhärtet, dass eine von der Vorinstanz durchgeführte Prüfung der vom Beschwerdeführer zu den Akten gereichten Identitätskarte ergeben hat, dass es sich dabei um eine Fälschung handelt. Der Beschwerdeführer hat diese Bewertung nicht grundsätzlich bestritten, hält aber daran fest, das Dokument legal bei der zuständigen Behörde in D._______ erworben zu haben. Dies erscheint jedoch angesichts der zahlreichen und erheblichen Fälschungsmerkmale als unglaubhaft und es kann diesem Dokument demnach in Bezug auf die Herkunft des Beschwerdeführers kein Beweiswert zuerkannt werden. Im Weiteren weicht das auf dem Todesschein angegebene Geburtsdatum des Vaters des Beschwerdeführers ([...]) eklatant von dessen diesbezüglichen Angaben anlässlich der Befragungen ab, aus welchen sich ein Alter des Vaters im Todeszeitpunkt von etwa (...) oder (...) Jahren errechnen lässt (vgl. A1, S. 2, A18 S. 11). Zudem handelt es sich bei dem verwendeten Formular lediglich um eine Kopie schlechter Qualität. Ebenso weicht das im Geburtsschein des Beschwerdeführers angegebene Alter seiner Eltern ([...] respektive [...] Jahre) sowohl von seinen protokollierten, oben genannten Angaben als auch von dem im Todesschein angegebenen Alter des Vaters ab Zudem wird lediglich die Geburtsprovinz (K._______ beziehungsweise L._______), nicht aber der Geburtsort oder der Bezirk angegeben. Demnach sind auch an der Authentizität dieser Dokumente erhebliche Zweifel berechtigt. In Bezug auf die weiteren Dokumente (Nationalitätenausweis, Zivilregisterauszug) ist zu berücksichtigen, dass nach Erkenntnissen der schweizerischen Asylbehörden im Irak alle Arten von Dokumenten einfach auf illegale Weise zu beschaffen sind, weshalb ihnen generell nur ein reduzierter Beweiswert beizumessen ist. Diese Dokument vermögen daher die dargelegten erheblichen Anhaltspunkte für die Unglaubhaftigkeit der Angaben des Beschwerdeführers zu seiner Herkunft nicht auszuräumen.</w:t>
      </w:r>
    </w:p>
    <w:p>
      <w:r>
        <w:rPr>
          <w:b/>
        </w:rPr>
        <w:t>E. 5.4</w:t>
      </w:r>
    </w:p>
    <w:p>
      <w:r>
        <w:t>In Anbetracht dieser Umstände sowie des klaren Ergebnisses der LINGUA-Analyse gelangt das Gericht in Übereinstimmung mit der Vorinstanz zum Schluss, dass der Beschwerdeführer seine angebliche Herkunft aus E._______ bei D._______ nicht glaubhaft gemacht hat. Demzufolge ist der von ihm vorgebrachten Gefährdung durch arabische Terroristen in seinem angeblichen Herkunftsort jede glaubhafte Grundlage entzogen.</w:t>
      </w:r>
    </w:p>
    <w:p>
      <w:r>
        <w:rPr>
          <w:b/>
        </w:rPr>
        <w:t>E. 5.5</w:t>
      </w:r>
    </w:p>
    <w:p>
      <w:r>
        <w:t>Diese Einschätzung wird dadurch gestützt, dass die Asylvorbringen des Beschwerdeführers in wesentlichen Punkten Widersprüche enthalten beziehungsweise sie erst bei der Anhörung durch das BFM vorgebracht wurden und daher als nachgeschoben zu qualifizieren sind. Es kann hierzu auf die zutreffenden Erwägungen in der angefochtenen Verfügung verwiesen werden. Der Beschwerdeführer vermochte diese Ungereimtheiten weder anlässlich des Vorhalts in der Anhörung vom 27. April 2009 noch in der Beschwerdeeingabe überzeugend auszuräumen. Das Argument, er habe den Dolmetscher anlässlich der Kurzbefragung vom 16. Januar 2008 schlecht verstanden, kann nicht gehört werden. Die Befragung fand in Kurmanji-Kurdisch statt, der Muttersprache des Beschwerdeführers. Zudem ergeben sich aus dem Protokoll keine Hinweise auf Missverständnisse und der Beschwerdeführer hat am Schluss der Befragung ausdrücklich bestätigt, dass er den Dolmetscher gut verstanden habe.</w:t>
      </w:r>
    </w:p>
    <w:p>
      <w:r>
        <w:rPr>
          <w:b/>
        </w:rPr>
        <w:t>E. 5.6</w:t>
      </w:r>
    </w:p>
    <w:p>
      <w:r>
        <w:t>Zusammenfassend ist festzuhalten, dass es dem Beschwerde­füh­rer nicht gelungen ist, eine im Sinne von Art. 3 AsylG asylrelevante Verfolgungsgefahr nachzu­weisen oder glaubhaft darzutun. Die Vorinstanz hat sein Asylgesuch demzufolge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 BVGE 2009/50 E. 9 S. 733 mit weiteren Hinweisen ).</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Nordirak, wo der Beschwerdeführer höchstwahrscheinlich herkommt (vgl. E. 7.4.2), lässt den Wegweisungsvollzug zum heutigen Zeitpunkt klarerweise nicht als unzulässig erscheinen (vgl. BVGE 2008/4 E. 6.2 ff.).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Wie oben ausgeführt, ist von einer Herkunft des Beschwerdeführers aus der Provinz Dohuk im Nordirak auszugehen.</w:t>
      </w:r>
    </w:p>
    <w:p>
      <w:r>
        <w:rPr>
          <w:b/>
        </w:rPr>
        <w:t>E. 7.4.3</w:t>
      </w:r>
    </w:p>
    <w:p>
      <w:r>
        <w:t>Das Bundesverwaltungsgericht ist aufgrund einer umfassenden Beurteilung der aktuellen Situation in den nordirakischen Provinzen Dohuk, Suleimaniya und Erbil zum Schluss gekommen, dass in den drei kurdischen Provinzen keine Situation allgemeiner Gewalt herrscht, und die dortige politische Lage nicht dermassen angespannt ist, dass eine Rückführung dorthin als generell unzumutbar betrachtet werden müsste (vgl. BVGE 2008/5).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in der Regel für alleinstehende, gesunde und junge kurdische Männer, die ursprünglich aus einer der drei Provinzen stammen oder eine längere Zeit dort gelebt haben und dort nach wie vor über ein soziales Netz oder Parteibeziehungen verfügen, zumutbar ist. Für alleinstehende Frauen und für Familien mit Kindern, sowie für Kranke und Betagte ist bei der Feststellung der Zumutbarkeit des Wegweisungsvollzugs dagegen grosse Zurückhaltung angebracht (vgl. BVGE 2008/5 E. 7.5 und insbesondere E. 7.5.8 S. 65 ff.). Die Sicherheitslage in den drei kurdischen Provinzen hat sich seit Publikation des erwähnten Urteils nicht verschlechtert. In der überwiegen­den Mehrheit der Berichte von Regierungs- und Nichtregierungsorganisa­tionen sowie des UN-Sicherheitsrats wird eine insgesamt stabile Situation beschrieben (vgl. statt vieler Quellen: Amt des Hohen Flüchtlingskom­mis­sars der Vereinten Nationen [UNHCR], Note on the Continued Applicability of the April 2009 UNHCR Eligibility Guidelines for Assessing the International Protection Needs of Iraqi Asylum-See­kers, Juli 2010, S. 2 f.).</w:t>
      </w:r>
    </w:p>
    <w:p>
      <w:r>
        <w:rPr>
          <w:b/>
        </w:rPr>
        <w:t>E. 7.4.4</w:t>
      </w:r>
    </w:p>
    <w:p>
      <w:r>
        <w:t>Beim Beschwerdeführer handelt es sich um einen jungen, alleinstehenden und gemäss Aktenlage gesunden Mann. Er verfügt über eine grundlegende Schulbildung. Gemäss Aktenlage hat er in der Schweiz während rund zwei Monaten in einem Gastgewerbebetrieb gearbeitet, hat aber darüber hinaus keine berufliche Erfahrung. Gemäss seinen Angaben hat der Beschwerdeführer im Irak, abgesehen von seiner Grossmutter mütterlicherseits, welche in einem Irrenhaus lebe, keine näheren Familienangehörigen. In M._______ und N._______ würden mehrere Cousins seines Vaters leben, zu welchen er aber keinen Kontakt pflege. Ebenso habe er keinen Kontakt zu seinem nach F._______ emigrierten Bruder. Nachdem erstellt ist, dass der Beschwerdeführer unwahre Angaben zu seinem Herkunftsort gemacht hat, und seine Identität angesichts der gefälschten beziehungsweise nicht beweiskräftigen eingereichten Identitätsdokumente nicht erstellt ist, sind allerdings auch Zweifel an seinen Aussagen zu seinem Familiennetz berechtigt. Insbesondere erscheint wenig plausibel, dass beide Eltern Einzelkinder gewesen sein sollen, und er daher keine Onkel und Tanten habe. Zudem sind die vom Zivilstandsamt J._______ zu Handen des BFM am 22. Dezember 2010 sichergestellten Dokumente zum Teil erst nach der Einreise des Beschwerdeführers in die Schweiz ausgestellt worden (Geburtsschein vom 16. September 2009, Zivilregisterauszug vom 1. Februar 2010) und sind ihm augenscheinlich im Jahre 2010 zugestellt worden. Auch wenn es sich bei diesen Dokumenten mit überwiegender Wahrscheinlichkeit um Fälschungen handelt (vgl. E. 5.3), ist davon auszugehen, dass sie im Irak erstellt wurden. Demnach kann der Schluss gezogen werden, dass der Beschwerdeführer zumindest bis ins Jahr 2010 über eine Bezugsperson in seinem Herkunftsland verfügte, welche diese Dokumente beschaffte und sie ihm zustellte. Dies steht aber im Gegensatz zu seiner Behauptung anlässlich der Anhörung durch das BFM vom 27. April 2009, seine letzte Bezugsperson im Irak, ein Freund seines Vaters, welcher seine Ausreise organisiert habe, sei im Januar 2009 in die Türkei ausgereist (A18 S. 16). Unter diesen Umständen ist entgegen der Aussagen des Beschwerdeführers davon auszugehen, dass er in seiner Herkunftsland über ein tragfähiges soziales Netz verfügt. Im Übrigen ist darauf hinzuweisen, dass wirtschaftliche Schwierigkeiten, von welchen die vor Ort ansässige Bevölkerung generell betroffen ist, wie beispielsweise Wohnungsnot oder ein schwieriger Arbeitsmarkt, für sich allein praxisgemäss keine konkrete Gefährdung im Sinne von Art. 83 Abs. 4 AuG darstellen (vgl. EMARK 2003 Nr. 24 E. 5e S. 159 mit weiteren Hinweisen).</w:t>
      </w:r>
    </w:p>
    <w:p>
      <w:r>
        <w:rPr>
          <w:b/>
        </w:rPr>
        <w:t>E. 7.4.5</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dem Beschwerdeführer die Verfahrenskosten aufzuerlegen (Art. 63 Abs. 1 VwVG). Da indessen mit Zwischenverfügung des Bundesverwaltungsgerichts vom 26. März 2010 das Gesuch des Beschwerdeführers um Gewährung der unentgeltlichen Rechtspflege gemäss Art. 65 Abs. 1 VwVG gutgeheissen wurde und keine Anhaltspunkte dafür bestehen, dass sich seine finanzielle Lage seither massgeblich verändert hätte, wird auf die Auferlegung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