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E-1831/2022 vom 25. April 2022</w:t>
      </w:r>
    </w:p>
    <w:p>
      <w:r>
        <w:t>Bundesverwaltungsgericht, 2022-04-25, FR</w:t>
      </w:r>
    </w:p>
    <w:p>
      <w:r>
        <w:rPr>
          <w:b/>
        </w:rPr>
        <w:t xml:space="preserve">Quelle: </w:t>
      </w:r>
      <w:r>
        <w:t>https://mcp.opencaselaw.ch/entscheid/bvger_E-1831_2022</w:t>
      </w:r>
    </w:p>
    <w:p>
      <w:r>
        <w:t>FR: TAF E-1831/2022 du 25 avril 2022</w:t>
      </w:r>
    </w:p>
    <w:p>
      <w:r>
        <w:t>IT: TAF E-1831/2022 del 25 aprile 2022</w:t>
      </w:r>
    </w:p>
    <w:p>
      <w:pPr>
        <w:pStyle w:val="Heading2"/>
      </w:pPr>
      <w:r>
        <w:t>Regeste</w:t>
      </w:r>
    </w:p>
    <w:p>
      <w:r>
        <w:t>Asile (non-entrée en matière / procédure Dublin) et renvoi</w:t>
      </w:r>
    </w:p>
    <w:p>
      <w:pPr>
        <w:pStyle w:val="Heading2"/>
      </w:pPr>
      <w:r>
        <w:t>Erwägungen</w:t>
      </w:r>
    </w:p>
    <w:p>
      <w:r>
        <w:rPr>
          <w:b/>
        </w:rPr>
        <w:t>E. 8</w:t>
      </w:r>
    </w:p>
    <w:p>
      <w:r>
        <w:t>avril 2022) que les problèmes psychiques de la recourante connaissent une "bonne amélioration", bien que l’intéressée demeure anxieuse et rencontre toujours des problèmes de sommeil, qu’en tout état de cause, outre la poursuite du traitement médicamenteux préconisé à base de Sertraline, Quétiapine et Dafalgan (cf. document médical précité), d’éventuelles affections d’autre nature, notamment gynécologiques, pourront, le cas échéant, être investiguées et prises en charge en France, laquelle dispose de structures médicales similaires à la Suisse (cf., entre autres, arrêts du TAF F-117/2022 du 14 janvier 2022 consid. 6.3 ; F-5450/2021 du 20 décembre 2021 consid. 7.3.3), qu’en effet, même si la directive Accueil ne trouve plus application en l’espèce dès lors que la recourante a définitivement été déboutée par les autorités françaises et est tenue de retourner dans son pays d'origine (cf. art. 3 par. 1 de ladite directive), l'assistance à laquelle elle pourra prétendre jusqu'à l'exécution du renvoi relève du droit national français, qu’à cet égard, aucun élément concret ne permet de considérer que la France refuserait, le cas échéant, à l’intéressée l’accès aux soins en cas d’urgence ou de problèmes graves, les soins médicaux essentiels étant garantis dans ce pays, même pour les personnes en situation irrégulière,</w:t>
      </w:r>
    </w:p>
    <w:p>
      <w:r>
        <w:t>E-1831/2022 Page 8 que, dans le cas où la recourante devait avoir besoin de soins particuliers au moment de son transfert vers la France, il lui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(cf. art. 31 et 32 RD III), qu’en outre, la recourante n'a pas démontré que ses conditions d'existence en France, où elle a vécu plus de quatre ans, revêtiraient un tel degré de pénibilité et de gravité qu'elles seraient constitutives d'un traitement contraire à l'art. 3 CEDH ou encore à l'art. 3 Conv. torture, que, concernant la crainte de l’intéressée de rencontrer des problèmes avec des membres du gouvernement congolais qui auraient retrouvé sa trace, le Tribunal relève que la France est un Etat de droit et que rien ne laisse à penser que les autorités de ce pays ne lui offriraient pas une protection adéquate, au cas où elle en ferait la demande ; que, tel que relevé par le SEM, la recourante pourra donc sans autre s'adresser aux autorités policières ou judiciaires compétentes en cas de besoin, qu’elle pourra également s’adresser à celles-ci afin de dénoncer les abus sexuels dont elle aurait prétendument fait l’objet, que, par ailleurs, la recourante n'a fourni aucun élément concret susceptible de démontrer que ses demandes de protection déposées en France n'auraient pas été traitées conformément aux dispositions légales applicables dans ce pays, lequel est notamment lié par les conventions précitées, et avec diligence par les autorités compétentes de cet Etat, conformément à la directive Procédure, qu'au demeurant, une décision définitive de refus d'asile et de renvoi vers le pays d'origine ne constitue pas, en soi, une violation du principe de non- refoulement ; qu'au contraire, en retenant le principe de l'examen de la demande par un seul Etat membre ("one chance only"), le règlement Dublin III vise précisément à lutter contre les demandes d'asile multiples ("asylum shopping"), qu'il convient encore de rappeler que ledit règlement ne confère pas aux demandeurs d'asile le droit de choisir l'Etat membre offrant, à leur avis, les meilleures conditions d'accueil comme Etat responsable de l'examen de leur demande d'asile (cf. ATAF 2010/45 consid. 8.3),</w:t>
      </w:r>
    </w:p>
    <w:p>
      <w:r>
        <w:t>E-1831/2022 Page 9 que, par conséquent, le transfert de la recourante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demandes de mesures superprovisionnelles, d’effet suspensif et de dispense du versement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de la recourante, conformément à l’art. 63 al. 1 PA et aux art. 2 et 3 let. a FITAF (RS 173.320.2),</w:t>
      </w:r>
    </w:p>
    <w:p>
      <w:r>
        <w:t>E-1831/2022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