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E-1829/2015 vom 8. April 2015</w:t>
      </w:r>
    </w:p>
    <w:p>
      <w:r>
        <w:t>Bundesverwaltungsgericht, 2015-04-08, DE</w:t>
      </w:r>
    </w:p>
    <w:p>
      <w:r>
        <w:rPr>
          <w:b/>
        </w:rPr>
        <w:t xml:space="preserve">Quelle: </w:t>
      </w:r>
      <w:r>
        <w:t>https://mcp.opencaselaw.ch/entscheid/bvger_E-1829_2015</w:t>
      </w:r>
    </w:p>
    <w:p>
      <w:r>
        <w:t>FR: TAF E-1829/2015 du 8 avril 2015</w:t>
      </w:r>
    </w:p>
    <w:p>
      <w:r>
        <w:t>IT: TAF E-1829/2015 del 8 aprile 2015</w:t>
      </w:r>
    </w:p>
    <w:p>
      <w:pPr>
        <w:pStyle w:val="Heading2"/>
      </w:pPr>
      <w:r>
        <w:t>Regeste</w:t>
      </w:r>
    </w:p>
    <w:p>
      <w:r>
        <w:t>Asyl und Wegweisung (verkürzte Beschwerdefrist)</w:t>
      </w:r>
    </w:p>
    <w:p>
      <w:pPr>
        <w:pStyle w:val="Heading2"/>
      </w:pPr>
      <w:r>
        <w:t>Erwägungen</w:t>
      </w:r>
    </w:p>
    <w:p>
      <w:r>
        <w:rPr>
          <w:b/>
        </w:rPr>
        <w:t>E. 1.1</w:t>
      </w:r>
    </w:p>
    <w:p>
      <w:r>
        <w:t>Gemäss Art. 31 VGG (SR 173.32) beurteilt das Bundesverwaltungsgericht Beschwerden gegen Verfügungen nach Art. 5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bzw. Änderung. Er ist daher zur Einreichung der Beschwerde legitimiert (Art. 105 und Art. 108 Abs. 2 AsylG; Art. 48 Abs. 1 sowie Art. 52 Abs. 1 VwVG). Auf die Beschwerde ist einzutreten.</w:t>
      </w:r>
    </w:p>
    <w:p>
      <w:r>
        <w:rPr>
          <w:b/>
        </w:rPr>
        <w:t>E. 2</w:t>
      </w:r>
    </w:p>
    <w:p>
      <w:r>
        <w:t>Die Kognition des Bundesverwaltungsgerichts im Asylbereich und die zulässigen Rügen richten sich nach Art. 106 Abs. 1 AsylG.</w:t>
      </w:r>
    </w:p>
    <w:p>
      <w:r>
        <w:rPr>
          <w:b/>
        </w:rPr>
        <w:t>E. 3.1</w:t>
      </w:r>
    </w:p>
    <w:p>
      <w:r>
        <w:t>Über offensichtlich unbegründete Beschwerden wird in einzelrichterlicher Zuständigkeit mit Zustimmung eines zweiten Richters bzw.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3.2</w:t>
      </w:r>
    </w:p>
    <w:p>
      <w:r>
        <w:t>Vorliegend sind die Voraussetzungen für einen Entscheid mit einer Beschwerdefrist von fünf Arbeitstagen (Art. 108 Abs. 2 AsylG) erfüllt: Der Beschwerdeführer ist kosovarischer Staatsangehöriger. Der Bundesrat bezeichnete den Kosovo mit Beschluss vom 6. März 2009 als verfolgungssicheren Staat im Sinne von Art. 6a Abs. 2 Bst. a AsylG und ist auf diese Einschätzung bisher nicht zurückgekommen (Art. 6a Abs. 3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brachte zu Protokoll, dass er vor der Ausreise aus dem Kosovo seit zwei bis drei Jahren bei den Cousins seines Vaters - C._______ (geboren am [...], N [...]), D._______ (geboren am [...], N [...]) und E._______ (geboren am [...], N [...]) - gelebt und sich um sie gekümmert habe, da diese aufgrund einer Blutrache das Haus nicht hätten verlassen können. Seine Eltern und der grösste Teil seiner Geschwister würden im gleichen Dorf wohnen. Diese seien indes von dieser Blutfehde nicht betroffen. Diese Blutrache habe seinen Anfang genommen, als D._______, der heute im Kosovo inhaftiert sei, jemanden der Familie F._______ getötet habe. Anfangs habe der Beschwerdeführer der Familie G._______ nur Lebensmittel vorbeigebracht, später sei er zu ihnen gezogen. Ungefähr (...) Wochen vor Neujahr sei der Beschwerdeführer beim Einkauf fast mit einem Auto, welches von einem Mitglied der Familie F._______ gefahren worden sei, angefahren worden. Er habe indes bei der Polizei keine Anzeige erstattet, da diese so oder so nichts unternehmen würden. Obwohl dies der einzige Vorfall in dieser Art gewesen sei, fühle er sich im Kosovo bedroht und unsicher.</w:t>
      </w:r>
    </w:p>
    <w:p>
      <w:r>
        <w:rPr>
          <w:b/>
        </w:rPr>
        <w:t>E. 5.2</w:t>
      </w:r>
    </w:p>
    <w:p>
      <w:r>
        <w:t>Das SEM führte dazu in seiner abweisenden Verfügung vom 13. März 2015 aus, es sei grundsätzlich möglich, diesen versuchten Angriff der Polizei zu melden und entsprechende Aussagen zu machen. Zwar sei es in Fällen von Blutrache für die kosovarische Polizei meist schwierig, entsprechende Massnahmen einzuleiten. Jedoch sei vorliegend festzuhalten, dass der Beschwerdeführer seine Verwandten nur mit logistischen Tätigkeiten unterstützt habe und sonst nicht in diese Blutsfehde involviert sei; folglich sei davon auszugehen, dass es der kosovarischen Polizei möglich sei, geeignete Schutzmassnahmen zu ergreifen. Des Weiteren sei zu bemerken, dass die Familie G._______ aus dem Kosovo ausgereist sei, weswegen für die gegnerische Familie keine dringende Motivation (mehr) bestehe, gegen den Beschwerdeführer vorzugehen. Entsprechend sei es durchaus vorstellbar, dass der Vater des Beschwerdeführers das Gespräch mit der gegnerischen Familie suchen und Differenzen beilegen könnte. Dies gelte insbesondere, da die Kernfamilie des Beschwerdeführers in keiner Weise in die Blutsfehde involviert sei.</w:t>
      </w:r>
    </w:p>
    <w:p>
      <w:r>
        <w:rPr>
          <w:b/>
        </w:rPr>
        <w:t>E. 5.3</w:t>
      </w:r>
    </w:p>
    <w:p>
      <w:r>
        <w:t>Der Beschwerdeführer beharrte in seiner Rechtsmitteleingabe darauf, dass er bei einer Rückkehr in den Kosovo weiterhin in Gefahr sei, da die feindlich gesinnte Familie wisse, dass er der Familie G._______ über zwei Jahre hinweg geholfen habe.</w:t>
      </w:r>
    </w:p>
    <w:p>
      <w:r>
        <w:rPr>
          <w:b/>
        </w:rPr>
        <w:t>E. 5.4</w:t>
      </w:r>
    </w:p>
    <w:p>
      <w:r>
        <w:t>Das Bundesverwaltungsgericht kommt nach Prüfung der Akten in Übereinstimmung mit der Vorinstanz zum Schluss, dass es dem Beschwerdeführer nicht gelungen ist darzulegen, dass er im Kosovo aktuell ernsthafte Nachteile im Sinne von Art. 3 AsylG zu befürchten hat. Die Bezeichnung der Republik Kosovo als verfolgungssicheren Staat gemäss Art. 6a Abs. 2 Bst. a AsylG (vgl. E. 3.2) bedeutet, dass die gesetzliche Regelvermutung besteht, dass dort keine asylrelevante staatliche Verfolgung zu befürchten und Schutz vor nichtstaatlicher Verfolgung gewährleistet ist. Diese Vermutung kann indes im Einzelfall aufgrund konkreter und substanziierter Hinweise umgestossen werden. Vorliegend machte der Beschwerdeführer mit dem Hinweis, er sei von einem Mitglied der gegnerischen Familie fast angefahren worden, eine Verfolgung von privater Seite geltend. Bis anhin hat er diesen Vorfall indes nicht der kosovarischen Polizei gemeldet, da er sich keine Hilfe von dieser erhofft habe. Diese Behauptung überzeugt unter Hinweis auf die vorinstanzlichen Erwägungen und auf die Ausführungen zu Art. 6a Abs. 2 Bst. a AsylG nicht, weshalb weiterhin von der Schutzwilligkeit und der Schutzfähigkeit der kosovarischen Behörden auszugehen ist. Zudem scheint es, dass mit der Ausreise der Familie G._______ das Motiv einer möglichen Gefährdung des Beschwerdeführers durch die Familie F._______ nicht mehr zugegen ist. Schliesslich ist darauf hinzuweisen, dass die Kernfamilie des Beschwerdeführers sich weiterhin in B._______ aufhält und nicht in diese Blutsfehde involviert ist bzw. bis anhin auch nicht davon konkret betroffen war.</w:t>
      </w:r>
    </w:p>
    <w:p>
      <w:r>
        <w:rPr>
          <w:b/>
        </w:rPr>
        <w:t>E. 5.5</w:t>
      </w:r>
    </w:p>
    <w:p>
      <w:r>
        <w:t>Das SEM hat somit zu Recht die Flüchtlingseigenschaft des Beschwerdeführers verneint und sein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und BVGE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7.2.2</w:t>
      </w:r>
    </w:p>
    <w:p>
      <w:r>
        <w:t>Gemäss Art. 25 Abs. 3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Kosovo ist demnach unter dem Aspekt von Art. 5 AsylG rechtmässig. Sodann ergeben sich weder aus den Aussagen des Beschwerdeführers noch aus den Akten Anhaltspunkte dafür, dass er für den Fall einer Ausschaffung in den Kosovo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 ff. m.w.H.). Auch die allgemeine Menschenrechtssituation im Kosovo lässt den Wegweisungsvollzug zum heutigen Zeitpunkt nicht als unzulässig erscheinen. Ferner ist - bei dem Beschwerdeführer handelt es sich um eine minderjährige Person - bezüglich den Bestimmungen des Übereinkommens vom 20. November 1989 über die Rechte des Kindes (KRK, SR 0.107) auf die Erwägungen der Vorinstanz hinzuweisen.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Beschwerdeführer verfügt in B._______ über eine grosse Kernfamilie bestehend aus Eltern und Geschwister, zu denen er ein gutes Verhältnis hat und die ihn wieder aufnehmen können (A16 S. 2). Zudem sind diese Angehörigen in der Lage, für den Lebensunterhalt der Familie aufzukommen - der Vater arbeitet als Sanitär und ein älterer Bruder als Stapelfahrer (A16 S. 2 f.). Medizinische Wegweisungshindernisse sind vorliegend nicht ersichtlich. Nach dem Gesagten erweist sich der Vollzug der Wegweisung auch als zumutbar.</w:t>
      </w:r>
    </w:p>
    <w:p>
      <w:r>
        <w:rPr>
          <w:b/>
        </w:rPr>
        <w:t>E. 7.4</w:t>
      </w:r>
    </w:p>
    <w:p>
      <w:r>
        <w:t>Schliesslich verfügt der Beschwerdeführer über eine noch gültige kosovarische Identitätskarte,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Die Aktenlage deutet nicht auf eine bereits erfolgte Bekanntgabe der in Art. 97 Abs. 3 Bst. a-c AsylG erwähnten Personendaten gegenüber der zuständigen ausländischen Behörde hin, weshalb der diesbezügliche Antrag abgewiesen wird.</w:t>
      </w:r>
    </w:p>
    <w:p>
      <w:r>
        <w:rPr>
          <w:b/>
        </w:rPr>
        <w:t>E. 10</w:t>
      </w:r>
    </w:p>
    <w:p>
      <w:r>
        <w:t>Da sich die Beschwerdebegehren aufgrund vorstehender Erwägungen als aussichtslos erwiesen haben, ist das beantragte Gesuch um Gewährung der unentgeltlichen Prozessführung und Rechtsverbeiständung im Sinne von Art. 65 Abs. 1 VwVG abzulehnen und die Kosten des Verfahrens von Fr. 600.- (Art. 1-3 VGKE [SR 173.320.2]) dem Beschwerdeführer aufzuerlegen (Art. 63 Abs. 1 VwVG). Das Gesuch um Verzicht auf die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