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E-1824/2014 vom 29. April 2014</w:t>
      </w:r>
    </w:p>
    <w:p>
      <w:r>
        <w:t>Bundesverwaltungsgericht, 2014-04-29, DE</w:t>
      </w:r>
    </w:p>
    <w:p>
      <w:r>
        <w:rPr>
          <w:b/>
        </w:rPr>
        <w:t xml:space="preserve">Quelle: </w:t>
      </w:r>
      <w:r>
        <w:t>https://mcp.opencaselaw.ch/entscheid/bvger_E-1824_2014</w:t>
      </w:r>
    </w:p>
    <w:p>
      <w:r>
        <w:t>FR: TAF E-1824/2014 du 29 avril 2014</w:t>
      </w:r>
    </w:p>
    <w:p>
      <w:r>
        <w:t>IT: TAF E-1824/2014 del 29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und Art. 52 Abs. 1 VwVG). Auf die Beschwerde ist einzutreten.</w:t>
      </w:r>
    </w:p>
    <w:p>
      <w:r>
        <w:rPr>
          <w:b/>
        </w:rPr>
        <w:t>E. 2</w:t>
      </w:r>
    </w:p>
    <w:p>
      <w:r>
        <w:t>Die Kognition des Bundesverwaltungsgerichts und die zulässigen Rügen bestimmen sich nach Art. 106 Abs. 1 AsylG.</w:t>
      </w:r>
    </w:p>
    <w:p>
      <w:r>
        <w:rPr>
          <w:b/>
        </w:rPr>
        <w:t>E. 3</w:t>
      </w:r>
    </w:p>
    <w:p>
      <w:r>
        <w:t>Über offensichtlich begründete Beschwerden wird in einzelrichterlicher Zuständigkeit mit Zustimmung eines zweiten Richters entschieden (Art. 111 Bst. e AsylG). Da es sich vorliegend um eine solche handelt, ist der Beschwerdeentscheid nur summarisch zu begründen (Art. 111a Abs. 2 AsylG). Gestützt auf Art. 111a Abs. 1 AsylG ist auf einen Schriftenwechsel verzichtet worden.</w:t>
      </w:r>
    </w:p>
    <w:p>
      <w:r>
        <w:rPr>
          <w:b/>
        </w:rPr>
        <w:t>E. 4</w:t>
      </w:r>
    </w:p>
    <w:p>
      <w:r>
        <w:t>Vorliegend ist angesichts des Hauptbegehrens einzig zu prüfen, ob die Vorinstanz zu Recht die Flüchtlingseigenschaft der Beschwerdeführerin verneint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Personen mit subjektiven Nachfluchtgründen erhalten zwar gemäss Art. 54 AsylG kein Asyl, werden aber - unter Vorbehalt der vorliegend bedeutungslosen (allfälligen) Einschränkungen gemäss Art. 3 Abs. 3 und 4 AsylG - als Flüchtlinge vorläufig aufgenommen. Als subjektive Nachfluchtgründe gelten insbesondere das illegale Verlassen des Heimatlandes (sog. Republikflucht), das Einreichen eines Asylgesuchs im Ausland oder exilpolitische Betätigungen, wenn diese Aktivitäten die Gefahr einer zukünftigen Verfolgung begründen. Durch Republikflucht wird zum Flüchtling, wer aufgrund seiner illegalen Ausreise Sanktionen seines Heimatstaates befürchten muss, die bezüglich ihrer Intensität ernsthafte Nachteile i.S. von Art. 3 AsylG darstellen (vgl. BVGE 2009/29). Gemäss bundesverwaltungsgerichtlicher Praxis ha-ben eritreische Staatsangehörige, die ihr Heimatland illegal verlassen, be-gründete Furcht, bei einer Rückkehr erheblichen Nachteilen i.S. von Art. 3 AsylG ausgesetzt zu werden (vgl. beispielsweise die Urteile des Bundesverwaltungsgerichts D-1720/2012 vom 18. Juni 2012 und E- 4367/2012 vom 14. September 2012).</w:t>
      </w:r>
    </w:p>
    <w:p>
      <w:r>
        <w:rPr>
          <w:b/>
        </w:rPr>
        <w:t>E. 6.1</w:t>
      </w:r>
    </w:p>
    <w:p>
      <w:r>
        <w:t>In der angefochtenen Verfügung führte das BFM bezüglich der Verneinung der Flüchtlingseigenschaft aus, die Beschwerdeführerin mache keine Gründe nach Art. 3 AsylG geltend; bei den vorgebrachten Problemen mit ihrer Stiefmutter handle es sich nicht um Verfolgungsmassnah-men im Sinne dieser Bestimmung.</w:t>
      </w:r>
    </w:p>
    <w:p>
      <w:r>
        <w:rPr>
          <w:b/>
        </w:rPr>
        <w:t>E. 6.2</w:t>
      </w:r>
    </w:p>
    <w:p>
      <w:r>
        <w:t>In der Beschwerde wird anerkannt, dass die Vorbringen bezüglich der Übergriffe der Stiefmutter keine Asylgründe im Sinne von Art. 3 AsylG seien. Allerdings habe es das Bundesamt in Verletzung des Untersuchungsgrundsatzes und der Begründungspflicht ungeprüft und ungewürdigt gelassen, dass die Beschwerdeführerin wegen der illegalen Flucht aus ihrem Heimatland gemäss Art. 3 AsylG beziehungsweise Art. 54 AsylG die Flüchtlingseigenschaft erfülle. Es halte zwar fest, dass ihr bei einer Rückkehr eine unmenschliche Bestrafung gemäss Art. 3 EMRK drohe, spreche ihr aber die Flüchtlingseigenschaft ab.</w:t>
      </w:r>
    </w:p>
    <w:p>
      <w:r>
        <w:rPr>
          <w:b/>
        </w:rPr>
        <w:t>E. 6.2.1</w:t>
      </w:r>
    </w:p>
    <w:p>
      <w:r>
        <w:t>Diesbezüglich ist festzuhalten, dass über Eritrea im Allgemeinen und über die oftmals willkürliche Praxis der eritreischen Behörden bei der Anwendung des nationalen Rechts nur recht wenige zuverlässige und unabhängige Quellen verfügbar sind; das Land verfolgt eine gegen innen und gegen aussen äusserst restriktive Informationspolitik. Dennoch ergibt sich aus den vorhandenen Unterlagen (vgl. namentlich U.S. Department of State, 2009 Human Rights Report Eritrea, 11. März 2010; UK Border Agency, Country of Origin Information Report Eritrea, 15. April 2011; SFH, Eritrea, Update vom Februar 2010; UNHCR Eligibility guidelines for assessing the international protection needs of asylum-seekers from Eritrea, 20. April 2011; schriftliche Angaben eines unabhängigen Eritrea-Experten vom 30. September 2008 und vom 27. April 2009 gegenüber dem Bundesverwaltungsgericht; alle Berichte jeweils mit Hinweisen auf weitere Quellen) ein schlüssiges Bild in Bezug auf die von illegal ausreisenden Staatsangehörigen zu erwartenden staatlichen Sanktionen. So ist gemäss Art. 11 der "Proclamation No. 24/1992", welche die Ein- und Ausreise nach und von Eritrea regelt,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10 000 Birr (der in Eritrea bis zur Einführung der eigenen Landeswährung Nakfa gültigen äthiopischen Währung, Anm. des BVGer) sanktioniert. In der Praxis werden Ausreisevisa bereits seit mehreren Jahren nur noch unter sehr restriktiven Bedingungen und gegen Bezahlung hoher Geldbeträge (im Gegenwert von rund 10 000 USD) an wenige, als loyal beurteilte Personen ausgestellt, wobei Kinder ab elf Jahren, Männer bis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der Waffe zu verhindern. Wie von der Beschwerdeführerin zutreffend dargestellt, erachtet das eritreische Regime das illegale Verlassen des Landes als Zeichen politischer Opposition und versucht mit drakonischen Massnahmen der sinkenden Wehrbereitschaft und der Massenfluchtbewegung Herr zu werden.</w:t>
      </w:r>
    </w:p>
    <w:p>
      <w:r>
        <w:rPr>
          <w:b/>
        </w:rPr>
        <w:t>E. 6.2.2</w:t>
      </w:r>
    </w:p>
    <w:p>
      <w:r>
        <w:t>Aufgrund der Akten und unter Berücksichtigung der Tatsache, dass die Beschwerdeführerin im Zeitpunkt ihrer Ausreise (...) Jahre alt war, ist davon auszugehen, dass sie ihren Heimatstaat illegal, das heisst ohne behördliches Ausreisevisum, verlassen hat. Davon und von einer durch Art. 3 EMRK verbotenen drohenden Strafe oder Behandlung geht auch das BFM in seiner angefochtenen Verfügung aus. Allerdings hat es diese Umstände nicht unter dem Gesichtspunkt von Art. 3 AylG, sondern lediglich unter demjenigen von Art. 3 EMRK berücksichtigt und nur die vorläufige Aufnahme angeordnet, nicht aber die Flüchtlingseigenschaft der Beschwerdeführerin festgestellt. Damit verkennt das Bundesamt, dass die Beschwerdeführerin angesichts der in Erwägung 6.2.1 genannten Umstände begründete Furcht hat, bei einer Rückkehr in ihren Heimatstaat erheblichen Nachteilen im Sinne von Art. 3 AsylG ausgesetzt zu werden. Die Beschwerdeführerin ist mithin als Flüchtling zu anerkennen (vgl. auch Urteile des Bundesverwaltungsgerichts E-3702/2013 vom 18. März 2014 und D-3892/2008 vom 6. April 2010).</w:t>
      </w:r>
    </w:p>
    <w:p>
      <w:r>
        <w:rPr>
          <w:b/>
        </w:rPr>
        <w:t>E. 6.3</w:t>
      </w:r>
    </w:p>
    <w:p>
      <w:r>
        <w:t>Aus diesen Erwägungen ergibt sich, dass die angefochtene Verfügung offensichtlich Bundesrecht verletzt, soweit sie die Frage der Flüchtlingseigenschaft betrifft. Da sich die Beschwerde auf diesen Punkt beschränkt, ist sie vollständig gutzuheissen; die Dispositiv-Ziffer 1 der vorinstanzlichen Verfügung ist aufzuheben und das Bundesamt ist anzuweisen, die Beschwerdeführerin als Flüchtling anzuerkennen.</w:t>
      </w:r>
    </w:p>
    <w:p>
      <w:r>
        <w:rPr>
          <w:b/>
        </w:rPr>
        <w:t>E. 7</w:t>
      </w:r>
    </w:p>
    <w:p>
      <w:r>
        <w:t>Bei diesem Ausgang des Verfahrens sind keine Kosten zu erheben (Art. 63 Abs. 1 und 2 VwVG), womit der Antrag um Verzicht auf die Erhebung eines Kostenvorschusses und das Gesuch um Gewährung der unentgeltlichen Rechtspflege gegenstandslos werden.</w:t>
      </w:r>
    </w:p>
    <w:p>
      <w:r>
        <w:rPr>
          <w:b/>
        </w:rPr>
        <w:t>E. 8</w:t>
      </w:r>
    </w:p>
    <w:p>
      <w:r>
        <w:t>Der vertretenen Beschwerdeführerin ist angesichts ihres Obsiegens in Anwendung von Art. 64 VwVG und Art. 7 Abs. 1 des Reglements vom 21. Februar 2008 über die Kosten und Entschädigungen vor dem Bundesverwaltungsgericht (VGKE, SR 173.320.2) zulasten der Vorinstanz eine Entschädigung für die ihr notwendigerweise erwachsenen Parteikosten zuzusprechen. Der Rechtsvertreter hat zwar keine Kostennote eingereicht, doch lässt sich der Aufwand zuverlässig abschätzen. Unter Berücksichtigung der massgebenden Bemessungsfaktoren (Art. 9-13 VGKE) hat das BFM der Beschwerdeführerin eine Parteientschädigung in der Höhe von Fr. 600.- (inklusive Auslagen und Mehrwertsteueranteil)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