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E-1820/2009 vom 3. September 2012</w:t>
      </w:r>
    </w:p>
    <w:p>
      <w:r>
        <w:t>Bundesverwaltungsgericht, 2012-09-03, DE</w:t>
      </w:r>
    </w:p>
    <w:p>
      <w:r>
        <w:rPr>
          <w:b/>
        </w:rPr>
        <w:t xml:space="preserve">Quelle: </w:t>
      </w:r>
      <w:r>
        <w:t>https://mcp.opencaselaw.ch/entscheid/bvger_E-1820_2009</w:t>
      </w:r>
    </w:p>
    <w:p>
      <w:r>
        <w:t>FR: TAF E-1820/2009 du 3 septembre 2012</w:t>
      </w:r>
    </w:p>
    <w:p>
      <w:r>
        <w:t>IT: TAF E-1820/2009 del 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3.1.1</w:t>
      </w:r>
    </w:p>
    <w:p>
      <w:r>
        <w:t>Bei den in Art. 3 Abs. 1 AsylG genannten Massnahmen, welche eine Gefährdung von Leib, Leben oder Freiheit bewirken, gilt die gesetzliche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aufweist. Eingriffe müssen damit eine gewisse Schwere erreichen, um als asylrelevant angesehen zu werden. Das Kriterium der hinreichenden Intensität erübrigt sich bei den Massnahmen, welche einen unerträglichen psychischen Druck bewirken, zumal diese schon im Begriff der Unerträglichkeit des Druckes mitenthalten ist (vgl. ALBERTO ACHERMANN/ CHRISTINA HAUSAMMANN, Handbuch des Asylrechts, 2. vollständig überarbeitete Auflage, Bern/Stuttgart 1991, S. 75). Nach dem Gesagten müssen Eingriffe in Leib, Leben oder Freiheit eine bestimmte Intensität aufweisen, um als asylrelevant angesehen zu werden. Lediglich geringe Beeinträchtigungen genügen dazu nicht, da das Asylrecht nicht Opfer jeglichen Unrechts schützen will. Wo die Zumutbarkeitsschwelle liegt, ist im Einzelfall festzulegen, wobei nach den verschiedenen Eingriffsarten zu unterscheiden ist (vgl. a.a.O., S. 77). Eingriffe in andere menschenrechtlich geschützte Rechtsgüter als Leib, Leben oder Freiheit gelten nach Art. 3 Abs. 2 AsylG dann als Verfolgung, wenn daraus ein unerträglicher psychischer Druck entsteht, der einen weiteren Verbleib im Heimatstaat für die betroffene Person als objektiv unzumutbar erscheinen lässt. Dabei muss Ausgangspunkt immer ein konkreter Eingriff sein, der stattgefunden hat oder mit solcher Wahrscheinlichkeit droht, dass die Furcht vor ihm als begründet erscheint. Auch bei Massnahmen, die einen unerträglichen psychischen Druck bewirken, muss der Eingriff aus einem der in Art. 3 Abs. 1 AsylG genannten Motive erfolgen (vgl. a.a.O., S. 79).</w:t>
      </w:r>
    </w:p>
    <w:p>
      <w:r>
        <w:rPr>
          <w:b/>
        </w:rPr>
        <w:t>E. 3.1.2</w:t>
      </w:r>
    </w:p>
    <w:p>
      <w:r>
        <w:t>Relevanter Zeitpunkt für die Bestimmung der Flüchtlingseigenschaft ist der Zeitpunkt des Entscheides. Die Flüchtlingseigenschaft leitet sich nebst der Verfolgung im Sinne von Artikel 3 AsylG auch von der begründeten Furcht vor Verfolgung ab. Dabei ist festzustellen, ob die begründete Furcht im Zeitpunkt des Entscheides (noch) besteht; die Veränderungen im Heimatland sind sowohl zugunsten als auch zulasten des Beschwerdeführers zu berücksichtigen.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bedeutet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mit weiteren Hinweisen). 4.Das BFM verneinte die Flüchtlingseigenschaft im Wesentlichen damit, dass die Beschwerdeführerin zwar ihre Beteiligung an Kundgebungen zwischen 2003 und 2005 habe belegen können, ihre Vorbringen darüber hinaus aber widersprüchlich seien und gewisse Unstimmigkeiten enthielten und sie ihr politisches Engagement über die Kundgebungsteilnahme hinaus nicht habe mit Inhalt füllen können. Es sei ihr insbesondere nicht gelungen, zwischen ihrem parteipolitischem Engagement und der geltend gemachten Verfolgung einen überzeugenden Zusammenhang darzulegen. Auch wenn das BFM ausdrücklich lediglich auf die Glaubhaftigkeit der Vorbringen abstellte, machte es sinngemäss auch geltend, die vorgebrachten Verfolgungshandlungen seien in ihrer Intensität nicht asylbeachtlich und vermöchten keine begründete Furcht vor künftiger Verfolgung zu begründen. 5.Auf Grund verschiedener widersprüchlicher Angaben und weiterer Unstimmigkeiten hielt das BFM die Vorbringen der Beschwerdeführerin für unglaubhaft. Ein parteipolitisches und offen regierungskritisches Engagement der Beschwerdeführerin kann dagegen auf Grund der zahlreichen schlüssigen Beweismittel (darunter fotografische und filmische Darstellung von politischen Handlungen) als erstellt erachtet werden. Zumindest was die Kundgebungsteilnahmen von 2003 bis 2005 betrifft, wird dies auch vom BFM nicht in Frage gestellt. Vor diesem Hintergrund erscheinen die verschiedenen vom BFM monierten Widersprüche in den Schilderungen der Beschwerdeführerin und die weiteren Unstimmigkeiten, welche auch auf Beschwerdeebene nicht restlos überzeugend aufgelöst und geklärt werden können, unmassgeblich, zumal die offen regierungskritische Tätigkeit der Beschwerdeführerin als solche und diejenige ihrer Verwandten hinreichend dokumentiert sind. Damit überwiegen bei einer Gesamtwürdigung aller Aspekte die Faktoren, welche für die Glaubhaftigkeit der Vorbringen sprechen, die noch bestehenden Zweifel und ist grundsätzlich von folgendem glaubhaftem Sachverhalt auszugehen, welcher auf seine asylrechtliche Relevanz zu prüfen ist: Die Beschwerdeführerin engagierte sich seit 1998 für die Müsavat-Partei. Von 2003 bis 2005 nahm sie zusammen mit (...) und ihrem Sohn an verschiedenen, gegen die Regierung gerichteten Kundgebungen teil; dabei wurden sie von der Polizei tätlich angegriffen und verletzt. Die Kundgebungsteilnahme ihres Sohnes brachte auch Probleme mit dem Schuldirektor mit sich, welche zu seinem Schulverweis führten. 2005 trat sie der Partei bei und engagierte sich unter anderem propagandistisch. Regelmässig nahm sie auch an Vorstandsversammlungen teil. Dabei wurde sie offenbar beschattet. Denn auf dem Heimweg von solchen Versammlungen wurde sie häufig von Polizisten in Zivil mit dem Tode, mit Folter und dem Tode ihres Sohnes bedroht, wenn sie sich aus der Politik nicht zurückziehe. Nach den Wahlen im Herbst 2008 hielt sie diesem Druck nicht mehr stand und entschloss sich zur Ausreise. Betrachtet man diesen Sachverhalt nun im Lichte von Art. 3 AsylG, so ist, auch wenn die Beschwerdeführerin gemäss eigenen Angaben zu keiner Zeit verhaftet, festgehalten oder festgenommen und auch nie zu Hause bedroht worden ist, davon auszugehen, dass sie mit ihrem öffentlichen und offen regierungskritischen Auftreten mit hinreichender Wahrscheinlichkeit das Verfolgungsinteresse des aserbaidschanischen Staates geweckt hat und dass die massiven und regelmässigen Drohungen der Polizei in ihr einen unerträglichen psychischen Druck im Sinne von Art. 3 Abs. 2 AsylG (vgl. E. 3.1.1) bewirkt haben, welcher den weiteren Verbleib in der Heimat für sie als objektiv unzumutbar erscheinen liess. Angesichts der politischen Lage in ihrem Heimatstaat, insbesondere in Anbetracht des Umgangs des Staates mit regierungskritischen Stimmen, der diesbezüglichen Verschärfungen, die gemäss Erkenntnis des Bundesverwaltungsgerichts seit ihrer Ausreise eingetreten sind, und der Verfolgungshandlungen, denen ihre ebenfalls politisch aktiven Angehörigen mittlerweile ausgesetzt sind, kann nicht von der Hand gewiesen werden, dass ihre subjektive Furcht vor künftiger asylbeachtlicher Verfolgung (Wahrmachen der zahlreichen schweren Drohungen) zum aktuellen Zeitpunkt noch immer objektiv begründet erscheint. Die zwischenzeitliche Verhaftung (...) ebenfalls politisch engagierten (...) ist dabei als konkretes objektives Indiz für die Begründetheit der Furcht vor künftiger politisch motivierter Verhaftung zu würdigen. Von einer innerstaatlichen Fluchtalternative ist im Übrigen bei einer von den Behörden des Zentralstaates ausgehenden Verfolgungsgefahr nicht auszugehen. 6.Zusammenfassend ergibt sich nach dem Gesagten, dass die Beschwerdeführerin die Voraussetzungen von Art. 3 und Art. 7 AsylG erfüllt. Aus den Akten ergeben sich keine Hinweise auf das Vorliegen von Asylausschlussgründen, weshalb die Beschwerde gutzuheissen, die angefochtene Verfügung der Vorinstanz aufzuheben und die Vorinstanz anzuweisen ist, der Beschwerdeführerin in der Schweiz Asyl zu gewähren. Der minderjährige Sohn der Beschwerdeführerin ist ohne Weiteres ebenfalls als Flüchtling anzuerkennen und ihm ist Asyl zu gewähren (Art. 51 Abs. 1 und Abs. 3 AsylG). Bei dieser Sachlage erübrigt es sich, auf die neuen Vorbringen der Beschwerdeergänzungen, insbesondere auch auf die geltend gemachten subjektiven Nachfluchtgründe näher einzugehen. Der Eventualantrag (vorläufige Aufnahme) wird damit hinfällig und die Fragen, ob die geltend gemachten psychischen Probleme der Beschwerdeführerin oder das Kindeswohl ein Vollzugshindernis zu begründen vermögen, können ebenfalls dahingestellt bleiben. 7.Bei diesem Ausgang des Verfahrens sind keine Verfahrenskosten zu erheben (Art. 63 Abs. 1 VwVG). 8.Den Beschwerdeführenden ist angesichts ihres Obsiegens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Weder die aktuelle Rechtsvertreterin noch die vorherigen Rechtsvertretenden haben eine Honorarnote eingereicht. Auf die nachträgliche Einholung von Kostennoten ist aber praxisgemäss zu verzichten, da sich der notwendige Vertretungsaufwand auf Grund der Aktenlage zuverlässig abschätzen lässt (vgl. Art. 14 Abs. 2 VGKE). Gestützt auf die massgeblichen Bemessungsfaktoren (Art. 9 - 13 VGKE) ist die Parteientschädigung pauschal auf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