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E-1819/2018 vom 28. Mai 2018</w:t>
      </w:r>
    </w:p>
    <w:p>
      <w:r>
        <w:t>Bundesverwaltungsgericht, 2018-05-28, DE</w:t>
      </w:r>
    </w:p>
    <w:p>
      <w:r>
        <w:rPr>
          <w:b/>
        </w:rPr>
        <w:t xml:space="preserve">Quelle: </w:t>
      </w:r>
      <w:r>
        <w:t>https://mcp.opencaselaw.ch/entscheid/bvger_E-1819_2018</w:t>
      </w:r>
    </w:p>
    <w:p>
      <w:r>
        <w:t>FR: TAF E-1819/2018 du 28 mai 2018</w:t>
      </w:r>
    </w:p>
    <w:p>
      <w:r>
        <w:t>IT: TAF E-1819/2018 del 28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Über offensichtlich begründete Beschwerden wird in einzelrichterlicher Zuständigkeit mit Zustimmung eines zweiten Richters beziehungsweise einer zweiten Richterin entschieden (Art. 111 Bst. e AsylG). Vorliegend handelt es sich um eine solche, wie nachfolgend aufgezeigt, weshalb der Beschwerdeentscheid nur summarisch zu begründen ist (Art. 111a Abs.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sowie ein umfassendes Beweisverfahren durchzuführen ist.</w:t>
      </w:r>
    </w:p>
    <w:p>
      <w:r>
        <w:rPr>
          <w:b/>
        </w:rPr>
        <w:t>E. 6.2</w:t>
      </w:r>
    </w:p>
    <w:p>
      <w:r>
        <w:t>Im Asylverfahren ist der Sachverhalt grundsätzlich von Amtes wegen festzustellen (Art. 12 VwVG i.V.m. Art. 6 AsylG). Die Asylbehörden haben aufgrund dieser Untersuchungspflicht für die richtige und vollständige Abklärung des Sachverhalts zu sorgen. Unvollständig ist die Sachverhaltsfeststellung, wenn nicht alle für den Entscheid rechtserheblichen Sachumstände berücksichtigt wurden; unrichtig ist sie, wenn dem Entscheid ein falscher und aktenwidriger Sachverhalt zu Grunde gelegt wurde, wie dies der Fall ist, wenn die Rechtserheblichkeit einer Tatsache zu Unrecht verneint und diese gar nicht erst zum Gegenstand eines Beweisverfahrens gemacht wurde.</w:t>
      </w:r>
    </w:p>
    <w:p>
      <w:r>
        <w:rPr>
          <w:b/>
        </w:rPr>
        <w:t>E. 6.3</w:t>
      </w:r>
    </w:p>
    <w:p>
      <w:r>
        <w:t>Die behördliche Untersuchungspflicht wird durch die den Asylsuchenden gestützt auf Art. 8 AsylG auferlegte Mitwirkungspflicht eingeschränkt, wobei diese insbesondere bei der Anhörung vollständig anzugeben haben, weshalb sie um Asyl nachsuchen. Die Asylsuchenden haben auch Anspruch auf Mitwirkung, was sich unmittelbar aus dem Anspruch auf rechtliches Gehör ergibt (Art. 29 Abs. 2 BV; Art. 29 ff. VwVG i.V.m. Art. 6 AsylG).</w:t>
      </w:r>
    </w:p>
    <w:p>
      <w:r>
        <w:rPr>
          <w:b/>
        </w:rPr>
        <w:t>E. 7.1</w:t>
      </w:r>
    </w:p>
    <w:p>
      <w:r>
        <w:t>Die Vorinstanz ist in ihren Erwägungen zur Erkenntnis gelangt, die von den Beschwerdeführenden geltend gemachten Verfolgungsvorbringen würden den Anforderungen an die Asylrelevanz nicht genügen. Insbesondere wurde die von der Beschwerdeführerin vorgebrachte zweiwöchige Inhaftierung als nicht asylrelevant erachtet, da diese - wie die Beschwerdeführerin ausgeführt habe - auf einer unrechtmässigen Verdächtigung basiert habe und keine gezielt gegen sie gerichtete Verfolgungsmassnahme dargestellt habe. Sodann sei der Inhaftierung die erforderliche Intensität abzusprechen, da den Akten nicht zu entnehmen sei, dass die Beschwerdeführerin nach ihrer Freilassung weitere Probleme gehabt habe oder ihr solche konkret gedroht hätten. Auf die betreffenden Erwägungen der Vorinstanz gemäss angefochtener Verfügung und Zusammenfassung unter B. kann zur Vermeidung von Wiederholungen verwiesen werden.</w:t>
      </w:r>
    </w:p>
    <w:p>
      <w:r>
        <w:rPr>
          <w:b/>
        </w:rPr>
        <w:t>E. 7.2</w:t>
      </w:r>
    </w:p>
    <w:p>
      <w:r>
        <w:t>Nicht in die Beurteilung eingeflossen sind jedoch die erstmals auf Beschwerdestufe neu vorgebrachten Einwände, wonach die Beschwerdeführerin in der Haft Opfer sexueller Gewalt geworden ist. Allfällige in der Haft erlittene sexuelle Übergriffe können allenfalls zur Bejahung eines frauenspezifischen Nachteils im Sinne von Art. 3 Abs. 2 (zweiter Satz) AsylG führen. Einem solch schwerwiegenden Nachteil wie das Erleiden einer Vergewaltigung kommt dann asylrechtliche Relevanz zu, wenn der erlittene Nachteil einer flüchtlingsrechtlich relevanten (Gesamt-)Motivation zuzuschreiben ist (EMARK 2006 Nr. 32 [Grundsatzentscheid], insbesondere E. 8.7.3).</w:t>
      </w:r>
    </w:p>
    <w:p>
      <w:r>
        <w:rPr>
          <w:b/>
        </w:rPr>
        <w:t>E. 7.3</w:t>
      </w:r>
    </w:p>
    <w:p>
      <w:r>
        <w:t>Verschiedene konkrete Hinweise sprechen vorliegend dafür, dass die Beschwerdeführerin während ihrer Haft Opfer sexueller Gewalt geworden sein könnte. Diese Hinweise haben sich erst auf Beschwerdeebene weiter konkretisiert. Die Beschwerdeführerin hat in den Anhörungen keine sexuellen Übergriffe geltend gemacht. Im Rahmen der BzP hat sie zudem eine Befragung in einem reinen Frauenteam für nicht notwendig erklärt (act. A4/13 S. 8). Auch in der Anhörung machte sie im Zusammenhang mit ihrer Inhaftierung keine sexuellen Übergriffe geltend. Sie verwies aber auf ein Interview, welches sie einer syrischen Journalistin zu einem späteren Zeitpunkt nach ihrer Ausreise aus dem Heimatstaat gegeben hatte. Mit besagter Journalistin hat sie nach eigenen Aussagen mehrere Tage in Haft verbracht. Ein Wortmitschnitt dieses über einen Internetkanal abhörbaren Interviews wurde ins Anhörungsprotokoll übersetzt aufgenommen. In diesem wird seitens der Journalistin an die Beschwerdeführerin die Frage gerichtet, wie ihre Familie, insbesondere ihr Ehemann, mit der Inhaftierung umgegangen sei. Die Möglichkeit einer Vergewaltigung wurde thematisiert. Die Beschwerdeführerin drückt im Interview entsprechend aus, dass es ihr schwer falle, über das Erlebte zu berichten. Ihr Ehemann habe sehr viel Verständnis für ihre Situation gezeigt (act. A15/20 F25). Der Beschwerdeführer seinerseits brachte in seiner Anhörung vor, seine Ehefrau habe ihm die Details der Inhaftierung bisher nicht erzählt. Er werde dies von ihr auch nicht verlangen, um sie nicht zu verletzen. Eine Inhaftierung in Syrien bedeute jedoch für eine Frau, dass ihr mit grosser Wahrscheinlichkeit alles passiere (vgl. act. A16/17 F45). Die Vorbringen auf Beschwerdeebene können angesichts dieser Sachverhaltserkenntnisse nicht per se als nachgeschoben qualifiziert werden, zumal bekannt ist, dass Opfer sexueller Gewalt erst im späteren Verlauf eines Verfahrens im Stande sind, über das Erlebte zu berichten.</w:t>
      </w:r>
    </w:p>
    <w:p>
      <w:r>
        <w:rPr>
          <w:b/>
        </w:rPr>
        <w:t>E. 7.4</w:t>
      </w:r>
    </w:p>
    <w:p>
      <w:r>
        <w:t>Die Beschwerdeführenden sind bisher nicht anwaltlich vertreten. Die von ihnen eingereichte Beschwerde und die Beschwerdeergänzung in deutscher Sprache genügen zwar den Anforderungen an eine Beschwerdeschrift (Art. 52 VwVG). Gleichwohl lässt sich aufgrund der Ausführungen in dieser Laienbeschwerde - auch unter Berücksichtigung der Beschwerdeergänzung - keine abschliessende Einschätzung aufgrund des bisher erstellten Sachverhalts vornehmen.</w:t>
      </w:r>
    </w:p>
    <w:p>
      <w:r>
        <w:rPr>
          <w:b/>
        </w:rPr>
        <w:t>E. 8</w:t>
      </w:r>
    </w:p>
    <w:p>
      <w:r>
        <w:t>Aufgrund dessen ist ein reformatorischer Entscheid durch das Bundesverwaltungsgericht nicht angezeigt, da der Sachverhalt aktuell nicht als zur Genüge erstellt erachtet werden kann. Es erscheint sachgerecht, das Verfahren an die Vorinstanz zurückzuweisen, damit diese die nötigen Abklärungen - idealerweise im Rahmen einer nochmaligen Befragung der Beschwerdeführerin - vornimmt und diese im Rahmen eines neuen beschwerdefähigen Entscheids einer rechtlichen Würdigung unterzieht.</w:t>
      </w:r>
    </w:p>
    <w:p>
      <w:r>
        <w:rPr>
          <w:b/>
        </w:rPr>
        <w:t>E. 9</w:t>
      </w:r>
    </w:p>
    <w:p>
      <w:r>
        <w:t>Die Beschwerde ist nach dem Gesagten insoweit gutzuheissen, als damit die Aufhebung der vorinstanzlichen Verfügung beantragt wird.</w:t>
      </w:r>
    </w:p>
    <w:p>
      <w:r>
        <w:rPr>
          <w:b/>
        </w:rPr>
        <w:t>E. 10.1</w:t>
      </w:r>
    </w:p>
    <w:p>
      <w:r>
        <w:t>Bei diesem Ausgang des Verfahrens sind keine Kosten aufzuerlegen (Art. 63 Abs. 1 und 3 VwVG).</w:t>
      </w:r>
    </w:p>
    <w:p>
      <w:r>
        <w:rPr>
          <w:b/>
        </w:rPr>
        <w:t>E. 10.2</w:t>
      </w:r>
    </w:p>
    <w:p>
      <w:r>
        <w:t>Eine Parteientschädigung ist nicht auszurichten, da nicht davon auszugehen ist, dass den Beschwerdeführenden, die im Beschwerdeverfahren nicht vertreten waren, entschädigungspflichtige Kosten entstanden sind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