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E-1819/2010 vom 23. August 2011</w:t>
      </w:r>
    </w:p>
    <w:p>
      <w:r>
        <w:t>Bundesverwaltungsgericht, 2011-08-23, FR</w:t>
      </w:r>
    </w:p>
    <w:p>
      <w:r>
        <w:rPr>
          <w:b/>
        </w:rPr>
        <w:t xml:space="preserve">Quelle: </w:t>
      </w:r>
      <w:r>
        <w:t>https://mcp.opencaselaw.ch/entscheid/bvger_E-1819_2010</w:t>
      </w:r>
    </w:p>
    <w:p>
      <w:r>
        <w:t>FR: TAF E-1819/2010 du 23 août 2011</w:t>
      </w:r>
    </w:p>
    <w:p>
      <w:r>
        <w:t>IT: TAF E-1819/2010 del 23 agosto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fait valoir, comme motif de sa demande d'asile en Suisse, les persécutions qu'elle aurait subies au Pakistan de la part de ses parents éloignés. Au stade de recours, elle qualifie le différend en question de vengeance par le sang (blood feud) soulignant qu'il s'agit de persécutions déterminantes en matière d'asile. La recourante fait également valoir une crainte fondée d'être exposée à des persécutions de la part de proches révoltés en cas de son renvoi en Afghanistan, son pays d'origine.</w:t>
      </w:r>
    </w:p>
    <w:p>
      <w:r>
        <w:rPr>
          <w:b/>
        </w:rPr>
        <w:t>E. 3.2</w:t>
      </w:r>
    </w:p>
    <w:p>
      <w:r>
        <w:t>Le Tribunal rappelle, à titre liminaire, qu'un conflit entre deux familles, engagées dans une vengeance par le sang (blood feud), malgré le fait qu'il suppose des persécutions de la part de particuliers, peut, depuis l'abandon de la théorie de l'imputabilité au bénéfice de celle de la protection (cf. JICRA 2006 n° 18 p. 181ss), être pertinent en matière d'asile (cf. arrêt du Tribunal administratif fédéral E-5786/2006 du 1er avril 2010 consid. 3.3). Appelé à statuer sur les allégations qui font état de persécutions de ce type, le Tribunal vérifie si celles-ci répondent aux critères de l'art. 3 LAsi, en particulier si elles reposent sur l'un de motifs énumérés par cette disposition et, dans l'affirmative, apprécie si les autorités sont à même de fournir une protection adéquate (cf. arrêt du Tribunal administratif fédéral E-5786/2006, précité, consid. 3.3 in fine).</w:t>
      </w:r>
    </w:p>
    <w:p>
      <w:r>
        <w:rPr>
          <w:b/>
        </w:rPr>
        <w:t>E. 3.3</w:t>
      </w:r>
    </w:p>
    <w:p>
      <w:r>
        <w:t>En l'espèce toutefois, dans la mesure où le Tribunal ne dispose d'aucune preuve ni d'indice concret permettant de présumer l'existence effective du conflit rapporté, il convient d'examiner préalablement si les affirmations de l'intéressée peuvent être tenues pour vraisemblables au sens de l'art. 7 LAsi.</w:t>
      </w:r>
    </w:p>
    <w:p>
      <w:r>
        <w:rPr>
          <w:b/>
        </w:rPr>
        <w:t>E. 3.4</w:t>
      </w:r>
    </w:p>
    <w:p>
      <w:r>
        <w:t>A ce titre, il sied d'observer que l'analyse de quatre procès verbaux des auditions de l'intéressée ne permet pas de brosser un tableau homogène et précis des événements qu'elle décrit à l'appui de sa demande d'asile. Les propos de la recourante manquent en effet de substance et cela en ce qui concerne le motif essentiel de sa demande d'asile, à savoir le prétendu conflit de vengeance dans lequel sa famille serait impliquée. Ainsi, l'intéressée ne parvient pas à citer les noms de prétendus persécuteurs de sa famille, elle n'est pas à même d'indiquer les dates exactes des événements-clés du conflit, ignorant même la date précise de son enlèvement. Sa description des faits est sommaire et dépourvue de détails significatifs d'une expérience réellement vécue. Les propos de l'intéressée manquent par ailleurs de cohérence. Il est ainsi peu concevable que les parents éloignés poursuivent la famille de la recourante jusqu'au Pakistan uniquement pour une affaire d'héritage, d'autant plus que, comme l'intéressée a elle-même affirmé, la maison familiale, l'objet de la dispute successorale en Afghanistan, avait été saisie par les parents en question et est désormais en leur possession. A la lumière de ces observations, les prétendus actes de persécution s'avèrent dénués de motifs et, à plus fort raison, improbables.</w:t>
      </w:r>
    </w:p>
    <w:p>
      <w:r>
        <w:rPr>
          <w:b/>
        </w:rPr>
        <w:t>E. 3.5</w:t>
      </w:r>
    </w:p>
    <w:p>
      <w:r>
        <w:t>Dans son acte de recours, l'intéressée prétend que son incapacité de décrire en détails les persécutions subies est due à son vécu difficile et traumatisant. Elle appuie son argumentation sur le considérant 4 b) de l'arrêt JICRA 2003 n° 17 p. 101ss, aux termes duquel, "il est (...) scientifiquement établi que les personnes gravement traumatisées ne peuvent, dans la majorités des cas, parler spontanément, de manière complète et exempte de contradictions, de leur vécu, et ont même tendance à éviter toute (...) conversation se rapportant aux événements à l'origine de leur traumatisme". Le Tribunal souligne toutefois que l'état de fait dans les deux cas comparés n'est pas identique; à la différence du cas d'espèce, dans l'arrêt précité, les moyens de preuve à disposition de la Commission n'étaient pas réduits à un récit sommaire et général de la recourante. Un rapport médical circonstancié prouvait en effet que l'intéressée se trouvait effectivement dans l'incapacité de parler du traumatisme subi et qu'elle n'a pu l'avouer qu'au cours d'une psychothérapie, une fois la relation de confiance entre elle et son médecin établie (JICRA 2006 précitée, consid. 4b)). En l'occurrence en revanche, le Tribunal ne dispose que d'un récit sommaire, général et incohérent de l'intéressée. Aucun indice ne lui permet de tenir les propos de la recourante pour vraisemblables, voire d'expliquer le caractère lacunaire et imprécis de ses allégations par un traumatisme prétendument vécu.</w:t>
      </w:r>
    </w:p>
    <w:p>
      <w:r>
        <w:rPr>
          <w:b/>
        </w:rPr>
        <w:t>E. 3.6</w:t>
      </w:r>
    </w:p>
    <w:p>
      <w:r>
        <w:t>Le Tribunal observe par ailleurs que l'intéressée, consciente du caractère sommaire de ses propos tenus lors d'auditions, n'a pas fourni, dans son mémoire de recours, de précisions déterminantes pouvant étayer d'avantage l'état des faits allégué. Elle s'était concentrée sur la description abstraite des conflits de blood feud affirmant que sa famille était impliquée dans un différend de ce type. Elle n'a toutefois pas apporté d'éléments concrets permettant de conclure effectivement à l'existence d'un tel conflit.</w:t>
      </w:r>
    </w:p>
    <w:p>
      <w:r>
        <w:rPr>
          <w:b/>
        </w:rPr>
        <w:t>E. 3.7</w:t>
      </w:r>
    </w:p>
    <w:p>
      <w:r>
        <w:t>Sur la base de ce qui précède, le Tribunal constate que, dans son ensemble, les propos de l'intéressée s'avèrent incohérents et manquent d'éléments concrets et précis pour pouvoir retenir, avec une haute probabilité (cf. art. 7 LAsi), l'existence d'un risque d'être exposé à une persécution pour l'un des motifs prévus à l'art. 3 LAsi.</w:t>
      </w:r>
    </w:p>
    <w:p>
      <w:r>
        <w:rPr>
          <w:b/>
        </w:rPr>
        <w:t>E. 3.8</w:t>
      </w:r>
    </w:p>
    <w:p>
      <w:r>
        <w:t>Il s'ensuit que le recours doit être rejeté. 4.1. 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4.2.L'intéressée a toutefois conclu à l'octroi de l'assistance judiciaire partielle. Celle-ci doit être admise dans la mesure où les conclusions de son recours n'apparaissaient pas d'emblée vouées à l'échec au moment de son dépôt et qu'elle était - et est encore probablement - indigente, vu l'absence d'activité rémunérée en Suisse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