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E-1818/2015 vom 19. Januar 2017</w:t>
      </w:r>
    </w:p>
    <w:p>
      <w:r>
        <w:t>Bundesverwaltungsgericht, 2017-01-19, DE</w:t>
      </w:r>
    </w:p>
    <w:p>
      <w:r>
        <w:rPr>
          <w:b/>
        </w:rPr>
        <w:t xml:space="preserve">Quelle: </w:t>
      </w:r>
      <w:r>
        <w:t>https://mcp.opencaselaw.ch/entscheid/bvger_E-1818_2015</w:t>
      </w:r>
    </w:p>
    <w:p>
      <w:r>
        <w:t>FR: TAF E-1818/2015 du 19 janvier 2017</w:t>
      </w:r>
    </w:p>
    <w:p>
      <w:r>
        <w:t>IT: TAF E-1818/2015 del 19 gennaio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 Mit Beschwerde an das Bundesverwaltungsgericht kann gemäss Art. 106 Abs. 1 AsylG die Verletzung von Bundesrecht, einschliesslich Missbrauch und Überschreitung des Ermessens, sowie die unrichtige und unvollständige Feststellung des rechtserheblichen Sachverhalts gerügt werden.</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gilt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Nach Prüfung der Akten gelangt das Bundesverwaltungsgericht, wie zuvor die Vorinstanz, zum Schluss, dass die gesuchsbegründenden Vorbringen des Beschwerdeführers den Anforderungen an die Glaubhaftigkeit nicht zu genügen vermögen. Zur Vermeidung von Wiederholungen kann vorab auf die zutreffenden Erwägungen in der angefochtenen Verfügung verwiesen werden. Ergänzend ist festzustellen, dass sich die im Rahmen des rechtlichen Gehörs erfolgten Erklärungen des Beschwerdeführers bei der Anhörung zu den von der Vorinstanz aufgezeigten Widersprüchen als nicht stichhaltig erweisen. Seine Antwort auf den ersten Vorhalt - er habe bei der BzP ausgesagt, die zweite Durchsuchung habe im Winter stattgefunden, und bei der heutigen Anhörung gebe er nun zu Protokoll, sie habe sich im (...) ereignet, er wisse nicht genau, in welchem Monat es gewesen sei, aber es sei während (...) gewesen, er erinnere sich halt nicht mehr so genau, wann das passiert sei, und er wünsche sich, dass er diese Sachen so schnell wie möglich vergessen könne (Akten SEM A17/14 S. 10 Frage 74) - erweist sich als haltlos, zumal dieser Vorfall der unmittelbare Anlass für seine Ausreise gewesen sein soll. Auch seine Antwort auf den zweiten Vorhalt - er habe bei der BzP ausgesagt, (...) Tage bei seinem Freund geblieben zu sein, und heute bei der Anhörung gebe er zu Protokoll, er sei direkt nach der Ankunft bei seinem Freund weggegangen, er sei sich sicher, dass er am Tag nach der Ankunft bei seinem Freund von dort weggegangen sei, man habe ihn bei der BzP nicht ausreden lassen (A17/14 a.a.O.) - vermag in keiner Weise zu überzeugen. Eine Durchsicht des Protokolls zur BzP ergibt nämlich keinerlei Hinweise darauf, er könnte im Zusammenhang mit seiner Aussage, er sei (...) Tage bei seinem Kollegen geblieben, am Ausreden gehindert worden sein (vgl. A5/11 S. 8). Zudem ist nicht glaubhaft, dass sich die angebliche zweite behördliche Durchsuchung ausgerechnet zu einem Zeitpunkt ereignet haben soll, als der Beschwerdeführer nicht zuhause gewesen sei (vgl. A5/11 S. 8). Es ist nämlich davon auszugehen, dass es für die iranischen Behörden ohne weiteres möglich gewesen wäre, auch die Anwesenheitszeit des Beschwerdeführers in Erfahrung zu bringen respektive seine Rückkehr abzuwarten, sollten sie tatsächlich beabsichtigt haben, seiner habhaft zu werden.</w:t>
      </w:r>
    </w:p>
    <w:p>
      <w:r>
        <w:rPr>
          <w:b/>
        </w:rPr>
        <w:t>E. 4.2</w:t>
      </w:r>
    </w:p>
    <w:p>
      <w:r>
        <w:t>Die Ausführungen in der Beschwerde sind in der Tat nicht geeignet, zu einer anderen Beurteilung zu gelangen. Sie erschöpfen sich im Wesentlichen in einer Wiederholung der gesuchsbegründenden Aussagen und in einer Bekräftigung von deren Wahrheitsgehalt, ohne in substanziierter und detaillierter Weise zu den Erwägungen in der angefochtenen Stellung zu nehmen. Die Zitate aus Berichten zur Situation im Iran sind offensichtlich nicht geeignet, seine Vorbringen glaubhafter erscheinen zu lassen. Zur Vermeidung von Wiederholungen kann deshalb vollumfänglich auf die zutreffenden Ausführungen in der Vernehmlassung vom 14. August 2015 verwiesen werden.</w:t>
      </w:r>
    </w:p>
    <w:p>
      <w:r>
        <w:rPr>
          <w:b/>
        </w:rPr>
        <w:t>E. 4.3</w:t>
      </w:r>
    </w:p>
    <w:p>
      <w:r>
        <w:t>Dem Beschwerdeführer ist es aufgrund des Gesagten nicht gelungen, die Flüchtlingseigenschaft gemäss Art. 3 AsylG nachzuweisen oder zumindest glaubhaft zu machen. Die Vorinstanz hat das Asylgesuch zu Recht abgelehnt.</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Iran ist demnach unter dem Aspekt von Art. 5 AsylG rechtmässig. Sodann ergeben sich weder aus den Aussagen des Beschwerdeführers noch aus den Akten Anhaltspunkte dafür, dass er für den Fall einer Ausschaffung in den Iran dort mit beachtlicher Wahrscheinlichkeit einer nach Art. 3 EMRK oder Art. 1 FoK verbotenen Strafe oder Behandlung ausgesetzt wären.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Iran lässt den Wegweisungsvollzug zum heutigen Zeitpunkt nicht als unzulässig erscheinen. Nach dem Gesagten ist der Vollzug der Wegweisung sowohl im Sinne der asyl- als auch der völkerrechtlichen Bestimmungen zulässig.</w:t>
      </w:r>
    </w:p>
    <w:p>
      <w:r>
        <w:rPr>
          <w:b/>
        </w:rPr>
        <w:t>E. 6.3.1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6.3.2</w:t>
      </w:r>
    </w:p>
    <w:p>
      <w:r>
        <w:t>Im Iran herrscht keine Situation allgemeiner Gewalt, weshalb von der generellen Zumutbarkeit des Wegweisungsvollzugs in dieses Land ausgegangen werden kann. Aus den Akten lassen sich auch keine individuellen Vollzugshindernisse entnehmen. Wie bereits in der angefochtenen Verfügung ausgeführt worden ist, handelt es sich beim Beschwerdeführer um einen gesunden und gebildeten jungen Mann, der im Iran mit seinen Eltern und weiteren Verwandten über ein tragfähiges familiäres Beziehungsnetz verfügt, das ihm nach seiner Rückkehr bei der Reintegration behilflich sein wird.</w:t>
      </w:r>
    </w:p>
    <w:p>
      <w:r>
        <w:rPr>
          <w:b/>
        </w:rPr>
        <w:t>E. 6.3.3</w:t>
      </w:r>
    </w:p>
    <w:p>
      <w:r>
        <w:t>Nach dem Gesagten erweist sich der Vollzug der Wegweisung auch als zumutbar.</w:t>
      </w:r>
    </w:p>
    <w:p>
      <w:r>
        <w:rPr>
          <w:b/>
        </w:rPr>
        <w:t>E. 6.4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6.5</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wären die Kosten dem Beschwerdeführer aufzuerlegen (Art. 63 Abs. 1 VwVG). Da der Antrag auf Gewährung der unentgeltlichen Rechtspflege im Sinne von Art. 65 Abs. 1 VwVG mit Zwischenverfügung vom 23. Juli 2015 gutgeheissen wurde und sich aus den Akten keine Hinweise auf eine nachträgliche Veränderung der finanziellen Verhältnisse ergeben, ist der Beschwerdeführer von der Auferlegung der Verfahrenskosten zu befreien.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