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E-1814/2020 vom 8. April 2020</w:t>
      </w:r>
    </w:p>
    <w:p>
      <w:r>
        <w:t>Bundesverwaltungsgericht, 2020-04-08, DE</w:t>
      </w:r>
    </w:p>
    <w:p>
      <w:r>
        <w:rPr>
          <w:b/>
        </w:rPr>
        <w:t xml:space="preserve">Quelle: </w:t>
      </w:r>
      <w:r>
        <w:t>https://mcp.opencaselaw.ch/entscheid/bvger_E-1814_2020</w:t>
      </w:r>
    </w:p>
    <w:p>
      <w:r>
        <w:t>FR: TAF E-1814/2020 du 8 avril 2020</w:t>
      </w:r>
    </w:p>
    <w:p>
      <w:r>
        <w:t>IT: TAF E-1814/2020 del 8 aprile 2020</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Der Beschwerde kommt von Gesetzes wegen aufschiebende Wirkung zu (Art. 55 VwVG) und die Vorinstanz hat diese vorliegend nicht entzogen. Auf den entsprechenden Antrag ist in Ermangelung eines Rechtsschutzinteresses daher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Die Vorinstanz gelangt in der angefochtenen Verfügung zum Schluss, die Vorbringen des Beschwerdeführers würden den Anforderungen an die Flüchtlingseigenschaft gemäss Art. 3 AsylG nicht standhalten. Der Beschwerdeführer bringe vor, er habe das Darlehen nicht zurückzahlen können, welches er zur Realisierung seines beruflichen Projektes erhalten habe und dass er infolge eines Unfalls in grosse finanzielle Schwierigkeiten geraten sei. Da das Geld von ihm nicht habe eingetrieben werden können, habe er Mahnungen erhalten und sei polizeilich vorgeladen worden. Inzwischen sei ein Gerichtsverfahren eingeleitet worden. Es sei nachvollziehbar, dass die Situation den Beschwerdeführer sehr belaste, sei er doch unverschuldet in eine solch missliche Lage geraten. Die gegen ihn eingeleiteten behördlichen Massnahmen liessen sich jedoch nicht auf einen der in Art. 3 AsylG abschliessend genannten Grund zurückführen, sondern hätten rein gemeinrechtlichen Charakter. Im Übrigen dürfte die Befürchtung des Beschwerdeführers, aus den dargelegten Gründen zu einer mehrjährigen Haftstrafe verurteilt zu werden, eher auf seiner subjektiven Einschätzung als auf einer objektiv begründeten Furcht beruhen. Den eingereichten Vorladungen liege kein asylrechtliches Motiv zugrunde. Zudem seien sie nicht geeignet, eine derart schwere Bestrafung nachzuweisen, sondern würden nur aufzeigen, dass er sich bei der Polizei hätte melden müssen. Es sei demnach nicht davon auszugehen, dass der Beschwerdeführer begründete Furcht vor zukünftigen, asylrelevanten Verfolgungsmassnahmen habe.</w:t>
      </w:r>
    </w:p>
    <w:p>
      <w:r>
        <w:rPr>
          <w:b/>
        </w:rPr>
        <w:t>E. 6.2</w:t>
      </w:r>
    </w:p>
    <w:p>
      <w:r>
        <w:t>In der Rechtsmitteleingabe macht der Beschwerdeführer geltend, bei einer Rückkehr nach Algerien drohten ihm zehn bis 15 Jahre Haft. Er könnte nicht mehr als (...) arbeiten und würde aus dieser Misere nicht mehr herauskommen. Die Geschichte seines Nachbarn, welcher immer noch inhaftiert sei, beweise, dass diese Strafen wirklich vollzogen werden.</w:t>
      </w:r>
    </w:p>
    <w:p>
      <w:r>
        <w:rPr>
          <w:b/>
        </w:rPr>
        <w:t>E. 7.1</w:t>
      </w:r>
    </w:p>
    <w:p>
      <w:r>
        <w:t>Die vorinstanzliche Beweiswürdigung ist nicht zu beanstanden. Mit der Vorinstanz ist festzustellen, dass die Vorladungen im Zusammenhang mit der Rückzahlung eines Darlehens stehen und der Beschwerdeführer aufgefordert wurde, sich bei der Polizei zu melden. Einer allfälligen (strafrechtlichen) Verfolgung in diesem Zusammenhang kommt somit mangels eines Verfolgungsmotivs im Sinne von Art. 3 AsylG keine asylrechtliche Relevanz zu. Den Akten lassen sich auch keine Anhaltspunkte entnehmen, dass eine allfällig drohende Strafverfolgung illegitim sein würde, dem Beschwerdeführer mithin ein Politmalus droht (vgl. dazu BVGE 2014/28). An dieser Schlussfolgerung vermögen die Ausführungen auf Beschwerdeebene nichts zu ändern, zumal der Beschwerdeführer lediglich den aktenkundigen Sachverhalt wiederholt. Schliesslich führte der Beschwerdeführer in seiner Stellungnahme vom 20. März 2020 aus, er möchte in der Schweiz arbeiten, damit er seine Schulden begleichen könne und dann gehe er gerne in sein Heimatland zurück, womit er selbst nicht von einer Gefährdung seiner Person ausgeht.</w:t>
      </w:r>
    </w:p>
    <w:p>
      <w:r>
        <w:rPr>
          <w:b/>
        </w:rPr>
        <w:t>E. 7.2</w:t>
      </w:r>
    </w:p>
    <w:p>
      <w:r>
        <w:t>Zusammenfassend hat die Vorinstanz die Flüchtlingseigenschaft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Algerien ist demnach unter dem Aspekt von Art. 5 AsylG rechtmässig. Sodann ergeben sich weder aus den Aussagen des Beschwerdeführers noch aus den Akten Anhaltspunkte dafür, dass er für den Fall einer Ausschaffung nach Algerien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Algerien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9.4.1</w:t>
      </w:r>
    </w:p>
    <w:p>
      <w:r>
        <w:t>In Algerien herrscht weder Krieg, Bürgerkrieg noch eine Situation allgemeiner Gewalt, weshalb der Wegweisungsvollzug grundsätzlich zumutbar ist.</w:t>
      </w:r>
    </w:p>
    <w:p>
      <w:r>
        <w:rPr>
          <w:b/>
        </w:rPr>
        <w:t>E. 9.4.2</w:t>
      </w:r>
    </w:p>
    <w:p>
      <w:r>
        <w:t>Zur individuellen Zumutbarkeit des Wegweisungsvollzuges führte die Vorinstanz aus, der Beschwerdeführer sei jung und habe als (...) berufliche Erfahrung sammeln können. Sodann könne er bei einer Rückkehr mit seinen Eltern, zahlreichen Geschwistern und weiteren Verwandten auf ein bestehendes Beziehungsnetz zurückgreifen. Betreffend den Gesundheitszustand des Beschwerdeführers lasse sich dem Kurzbericht des Pflegedienstes des Bundesasylzentrums vom 10. Januar 2020 entnehmen, dass er an einer vorbestehenden unklaren (...)problematik und gegenwärtig an unklarem (...) leide. Weiter sei eine (...) festgestellt worden. Es sei ihm das Medikament «(...)» und (...) gegen (...) verschrieben worden. Es sei ein Labortest durchgeführt und der Thorax geröntgt worden. Die ärztlichen Befunde würde nicht darauf hindeuten, dass die beim Beschwerdeführer festgestellten Befund lebensbedrohlich seien und eine Rückkehr nach Algerien deshalb als unzumutbar erachtet werden müsste. Die Tatsache, dass ihm «(...)» und (...) verschrieben worden sei, die erfolgten Untersuchungen jedoch keine weiteren medizinischen Interventionen oder Behandlungen in der Schweiz nötig gemacht hätten, würden diesen Schluss nahelegen. Sollten sich in Algerien weitere Untersuchungen aufdrängen, sei festzuhalten, dass es in jeder grösseren Stadt Spitäler gebe. Es existiere auch ein Sozialversicherungssystem, das den Versicherten grundsätzlich Anspruch auf medizinische Behandlung gewähre. Die staatliche medizinische Betreuung stehe aber auch Nichtversicherten mehr oder weniger kostenlos zur Verfügung und Medikamente würden staatlich subventioniert.</w:t>
      </w:r>
    </w:p>
    <w:p>
      <w:r>
        <w:rPr>
          <w:b/>
        </w:rPr>
        <w:t>E. 9.4.3</w:t>
      </w:r>
    </w:p>
    <w:p>
      <w:r>
        <w:t>Das Gericht schliesst sich vollumfänglich den Erwägungen der Vorinstanz zur individuellen Zumutbarkeit der Wegweisung an, zumal der Beschwerdeführer diesen in der Rechtsmitteleingabe nichts entgegensetzt. Der Vollzug der Wegweisung erweist sich demnach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Der Beschwerdeführer beantragt die Gewährung der unentgeltlichen Prozessführung und amtlichen Verbeiständung. Aufgrund der vorstehenden Erwägungen ergibt sich, dass seine Begehren als aussichtlos zu gelten haben, weshalb den Gesuchen nicht stattzugeben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