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E-1801/2020 vom 6. Mai 2020</w:t>
      </w:r>
    </w:p>
    <w:p>
      <w:r>
        <w:t>Bundesverwaltungsgericht, 2020-05-06, DE</w:t>
      </w:r>
    </w:p>
    <w:p>
      <w:r>
        <w:rPr>
          <w:b/>
        </w:rPr>
        <w:t xml:space="preserve">Quelle: </w:t>
      </w:r>
      <w:r>
        <w:t>https://mcp.opencaselaw.ch/entscheid/bvger_E-1801_2020</w:t>
      </w:r>
    </w:p>
    <w:p>
      <w:r>
        <w:t>FR: TAF E-1801/2020 du 6 mai 2020</w:t>
      </w:r>
    </w:p>
    <w:p>
      <w:r>
        <w:t>IT: TAF E-1801/2020 del 6 maggio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1.6</w:t>
      </w:r>
    </w:p>
    <w:p>
      <w:r>
        <w:t>Gestützt auf Art. 111a Abs. 1 AsylG wurde auf die Durchführung eines Schriftenwechsels verzichtet.</w:t>
      </w:r>
    </w:p>
    <w:p>
      <w:r>
        <w:rPr>
          <w:b/>
        </w:rPr>
        <w:t>E. 1.7</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2.3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w:t>
      </w:r>
    </w:p>
    <w:p>
      <w:r>
        <w:t>Das SEM hat in der angefochtenen Verfügung ausführlich und mit zutreffender Begründung dargelegt, weshalb die Asylvorbringen des Beschwerdeführers den Anforderungen an die Glaubhaftmachung und an die Asylrelevanz nicht genügen.</w:t>
      </w:r>
    </w:p>
    <w:p>
      <w:r>
        <w:rPr>
          <w:b/>
        </w:rPr>
        <w:t>E. 3.1</w:t>
      </w:r>
    </w:p>
    <w:p>
      <w:r>
        <w:t>Vorweg ist festzuhalten, dass das SEM in seiner Verfügung vom 27. Februar 2020 korrekt dargelegt hat, weshalb der Sachverhaltsvortrag des Beschwerdeführers, namentlich die geltend gemachten Schwierigkeiten im Zusammenhang mit der Ausübung seiner Funktion als Captain des Fussballclubs im Dorf E._______ und den daraus resultierenden Behelligungen durch die Militärbehörden den Anforderungen an die Flüchtlingseigenschaft im Sinne von Art. 3 AsylG respektive an die Glaubhaftmachung im Sinne von Art. 7 AsylG nicht standhalten.</w:t>
      </w:r>
    </w:p>
    <w:p>
      <w:r>
        <w:rPr>
          <w:b/>
        </w:rPr>
        <w:t>E. 3.1.1</w:t>
      </w:r>
    </w:p>
    <w:p>
      <w:r>
        <w:t>Das SEM hat insbesondere zutreffend darauf hingewiesen, dass es den vorgetragenen Repressalien (Auseinandersetzungen wegen des Spielplatzes, Beschimpfungen, Bedrohungen und Handgreiflichkeiten, Bedrohungen seiner Familie) am erforderlichen asylrechtlichen Motiv mangelt. Der Streit um die Belegung des Fussball- respektive Cricket-Spielplatzes stellt die Ursache für die Auseinandersetzungen des Beschwerdeführers mit den Militärbehörden dar und weist somit - trotz der angeblich erlittenen Misshandlungen - keinen flüchtlingsrechtlich relevanten Hintergrund auf.</w:t>
      </w:r>
    </w:p>
    <w:p>
      <w:r>
        <w:rPr>
          <w:b/>
        </w:rPr>
        <w:t>E. 3.1.2</w:t>
      </w:r>
    </w:p>
    <w:p>
      <w:r>
        <w:t>Diese Einschätzung wird durch den weiteren Umstand bestärkt, dass die sri-lankischen Behörden, namentlich das Assistant Government Agent Office - im Sinne und zu Gunsten des Beschwerdeführers und seiner Fussballmannschaft - tätig geworden seien und den Militärangehörigen untersagt haben sollen, den Sportplatz für sich zu beanspruchen (vgl. A46, Antwort 56). Zudem soll auch der eingeschaltete Dorfvorsteher gegen die Vorgehensweise der Militärangehörigen vorgegangen sein und eine gerichtliche Klage eingereicht haben (vgl. A46, Antwort 94), was eindeutig gegen die vom Beschwerdeführer behauptete Verfolgung durch die sri-lankischen Behörden und gegen asylbeachtliche Nachteile aufgrund seiner tamilischen Ethnie spricht.</w:t>
      </w:r>
    </w:p>
    <w:p>
      <w:r>
        <w:rPr>
          <w:b/>
        </w:rPr>
        <w:t>E. 3.1.3</w:t>
      </w:r>
    </w:p>
    <w:p>
      <w:r>
        <w:t>Auch der Umstand, dass die Peiniger beim Elternhaus des Beschwerdeführers vorgesprochen und die Familienangehörigen darum gebeten haben sollen, niemandem von den erlittenen Schlägen zu berichten (vgl. A46, Antwort 52, S. 8 oben), stützen diese Einschätzung zusätzlich.</w:t>
      </w:r>
    </w:p>
    <w:p>
      <w:r>
        <w:rPr>
          <w:b/>
        </w:rPr>
        <w:t>E. 3.1.4</w:t>
      </w:r>
    </w:p>
    <w:p>
      <w:r>
        <w:t>Bei den angeblich erlittenen Schlägen handelt es sich zudem um Übergriffe seitens einzelner Militärpersonen, die vom sri-lankischen Staat als solche nicht grundsätzlich geduldet werden. Diesbezüglich ist davon auszugehen, dass sich der Beschwerdeführer mit rechtsstaatlichen Mitteln gegen diese überschiessenden, behördlich nicht legitimierten, Nachteilszufügungen hätte zur Wehr setzen können. Auch diese Einschätzungen wird bestärkt durch den Umstand, dass den eigenen Angaben des Beschwerdeführers zufolge sowohl das Assistant Government Agent Office als auch der Dorfvorsteher entsprechende Massnahmen ergriffen haben (vgl. E. 3.1.2 oben). Der Beschwerdeführer hat selbst die Übergriffe auf seine Person auf die Wut des Militärangehörigen auf ihn als Captain des Sportclubs respektive auf das behördlich ausgesprochene Verbot, auf dem fraglichen Sportplatz zu spielen, zurückgeführt (vgl. A46, Antwort 56).</w:t>
      </w:r>
    </w:p>
    <w:p>
      <w:r>
        <w:rPr>
          <w:b/>
        </w:rPr>
        <w:t>E. 3.1.5</w:t>
      </w:r>
    </w:p>
    <w:p>
      <w:r>
        <w:t>Auch die weiteren Umstände, wonach der Beschwerdeführer gemäss eigenen Angaben vor den Auseinandersetzungen wegen des Sportplatzes nie Probleme mit den sri-lankischen Behörden gehabt haben will (vgl. Akte A46, Antwort 64), gegenüber den Behörden auch angegeben habe, während der bürgerkriegsähnlichen Auseinandersetzungen zwischen dem sri-lankischen Staat und den LTTE diese nie unterstützt zu haben (vgl. A46, Antwort 52, S. 7, 3. Abschnitt) und weder der Beschwerdeführer noch seine unmittelbare Familie eine LTTE-Vergangenheit haben sollen (vgl. A46, Antworten 62 und 68), sprechen ebenfalls dafür, dass der Beschwerdeführer nicht aufgrund eines konkreten, politisch motivierten LTTE-Verdachts ins Visier der sri-lankischen Behörden geriet.</w:t>
      </w:r>
    </w:p>
    <w:p>
      <w:r>
        <w:rPr>
          <w:b/>
        </w:rPr>
        <w:t>E. 3.1.6</w:t>
      </w:r>
    </w:p>
    <w:p>
      <w:r>
        <w:t>In diesem Zusammenhang vermag der Verweis in der Beschwerde auf die angebliche Asylgewährung eines Bruders in Grossbritannien nichts zu ändern, zumal die Hintergründe für diese behauptete, mit keinerlei Beweismittel untermauerte Asylgewährung im Dunkeln bleiben und der Beschwerdeführer selbst zu Protokoll gab, seine Brüder hätten keine LTTE-Vergangenheit (vgl. A46, Antwort 68 ff.).</w:t>
      </w:r>
    </w:p>
    <w:p>
      <w:r>
        <w:rPr>
          <w:b/>
        </w:rPr>
        <w:t>E. 3.1.7</w:t>
      </w:r>
    </w:p>
    <w:p>
      <w:r>
        <w:t>Das Gericht stimmt auch der vorinstanzlichen Einschätzung zu, wonach die Schilderungen des Beschwerdeführers in wesentlichen Punkten äusserst knapp, unsubstanziiert und teilweise stereotyp ausgefallen sind (vgl. A46, Antwort 86), weshalb es diesem nicht gelungen ist, glaubhaft darzutun, weshalb er in einen behördlichen LTTE-Verdacht geraten sein soll. Diesbezüglich ist davon auszugehen, dass die sri-lankischen Sicherheitskräfte es nicht bei der blossen Unterstellung des Beschwerdeführers unter eine Unterschrifts- oder Meldepflicht hätten bewenden lassen, wenn sie ihn tatsächlich einer konkreten und erheblichen Unterstützung der LTTE verdächtigt hätten. Auch das Vorbringen, die Armee respektive das CID habe bei der Volkszählung bei seinen Eltern Probleme gemacht (vgl. A46, Antwort 74), vermag nicht als glaubhafte Grundlage für das behauptete behördliche Interesse an der Person des Beschwerdeführers zu genügen, zumal bei einem konkreten und begründeten Verfolgungsinteresse die Sicherheitskräfte kaum zufällig den Termin der Volkszählung abgewartet hätten, sondern erfahrungsgemäss entsprechende Ermittlungshandlungen gegen den Beschwerdeführer sofort nach Kenntnisnahme eines LTTE-Verdachts vorgenommen hätten.</w:t>
      </w:r>
    </w:p>
    <w:p>
      <w:r>
        <w:rPr>
          <w:b/>
        </w:rPr>
        <w:t>E. 3.1.8</w:t>
      </w:r>
    </w:p>
    <w:p>
      <w:r>
        <w:t>Nachdem sich die vom Beschwerdeführer geltend gemachten Verbindungen zu den LTTE als unglaubhaft erwiesen haben, gehört er - entgegen der anderslautenden Behauptung in der Beschwerdeeingabe - keiner der im Referenzurteil des Bundesverwaltungsgerichts E-1866/2015 definierten Risikogruppen an. Wie das SEM zutreffend dargelegt hat, besteht kein begründeter Anlass zur Annahme, dass er bei einer Rückkehr nach Sri Lanka mit beachtlicher Wahrscheinlichkeit und in absehbarer Zukunft flüchtlingsrelevanten Verfolgungsmassnahmen ausgesetzt werden könnte.</w:t>
      </w:r>
    </w:p>
    <w:p>
      <w:r>
        <w:rPr>
          <w:b/>
        </w:rPr>
        <w:t>E. 3.1.9</w:t>
      </w:r>
    </w:p>
    <w:p>
      <w:r>
        <w:t>Schliesslich muss auch das Vorbringen des Beschwerdeführers, er sei «sicher auf eine schwarze Liste» gesetzt worden (vgl. A46, Antwort 84), als blosse Behauptung ohne weitere Substanziierung gewertet werden, nachdem auch in der Beschwerdeeingabe keine diesbezüglichen schlüssigen Ausführungen oder Spezifizierungen erfolgt sind.</w:t>
      </w:r>
    </w:p>
    <w:p>
      <w:r>
        <w:rPr>
          <w:b/>
        </w:rPr>
        <w:t>E. 3.2</w:t>
      </w:r>
    </w:p>
    <w:p>
      <w:r>
        <w:t>Die vom Beschwerdeführer eingereichten Beweismittel sind nicht geeignet, die geltend gemachte Verfolgungssituation glaubhaft darzulegen.</w:t>
      </w:r>
    </w:p>
    <w:p>
      <w:r>
        <w:rPr>
          <w:b/>
        </w:rPr>
        <w:t>E. 3.2.1</w:t>
      </w:r>
    </w:p>
    <w:p>
      <w:r>
        <w:t>Einerseits ist festzustellen ist, dass das Schreiben des Spitals datiert vom 23. November 2017 zwar einen Übergriff («assault») attestiert, mit dieser Bestätigung jedoch noch kein asylrechtlich relevanter Hintergrund für diesen Angriff auf den Beschwerdeführer belegt wird.</w:t>
      </w:r>
    </w:p>
    <w:p>
      <w:r>
        <w:rPr>
          <w:b/>
        </w:rPr>
        <w:t>E. 3.2.2</w:t>
      </w:r>
    </w:p>
    <w:p>
      <w:r>
        <w:t>Andererseits wurde dieses Beweismittel mehr als vier Jahre nach der darin bestätigten Spitalbehandlung ausgestellt, weshalb auch inhaltlich Zweifel am Wahrheitsgehalt dieses Dokuments angebracht werden müssen.</w:t>
      </w:r>
    </w:p>
    <w:p>
      <w:r>
        <w:rPr>
          <w:b/>
        </w:rPr>
        <w:t>E. 3.2.3</w:t>
      </w:r>
    </w:p>
    <w:p>
      <w:r>
        <w:t>Auch das eingereichte «DiagnosisTicket» vom 24. bzw. 27. Juni 2018 betreffend den Vater des Beschwerdeführers führt zwar Übergriffe durch unbekannte Personen auf. Dieses Beweismittel vermag jedoch nicht die vom Beschwerdeführer daraus abgeleitete Verfolgungssituation wegen eines behördlichen LTTE-Verdachts hinreichend glaubhaft dazulegen, nachdem keine entsprechenden spezifizierenden Hinweise aus dem Dokument hervorgehen und solche auch im Rahmen der Beschwerde nicht erfolgt sind.</w:t>
      </w:r>
    </w:p>
    <w:p>
      <w:r>
        <w:rPr>
          <w:b/>
        </w:rPr>
        <w:t>E. 3.2.4</w:t>
      </w:r>
    </w:p>
    <w:p>
      <w:r>
        <w:t>Im Rahmen des erstinstanzlichen Verfahrens wurden seitens des Beschwerdeführers keine weiteren Beweismittel zur Stützung der von ihm vorgetragenen Verfolgungssituation wegen eines unterstellen LTTE-Verdachts eingereicht.</w:t>
      </w:r>
    </w:p>
    <w:p>
      <w:r>
        <w:rPr>
          <w:b/>
        </w:rPr>
        <w:t>E. 3.3</w:t>
      </w:r>
    </w:p>
    <w:p>
      <w:r>
        <w:t>Das SEM hat insgesamt zutreffend festgestellt, dass es dem Beschwerdeführer nicht gelungen ist, glaubhaft darzulegen, worin seine Probleme im Heimatland bestanden und inwiefern ihn diese in seinem Alltag beeinträchtigt haben sollen. Die übrigen Ausführungen in der Beschwerde sind nicht geeignet, die vorinstanzlichen Erwägungen in einem anderen Lichte betrachten zu lassen.</w:t>
      </w:r>
    </w:p>
    <w:p>
      <w:r>
        <w:rPr>
          <w:b/>
        </w:rPr>
        <w:t>E. 3.3.1</w:t>
      </w:r>
    </w:p>
    <w:p>
      <w:r>
        <w:t>Die auf Beschwerdeebene eingereichte Todesbescheinigung, welche belegen soll, dass die Mutter des Beschwerdeführers am 4. Januar 2020 wegen einer behördlichen Vorsprache einen Herzinfarkt erlitten habe und in der Folge gestorben sei, vermag für sich alleine den behaupteten asylbeachtlichen Hintergrund des Todesfalls nicht hinreichend zu stützen.</w:t>
      </w:r>
    </w:p>
    <w:p>
      <w:r>
        <w:rPr>
          <w:b/>
        </w:rPr>
        <w:t>E. 3.3.2</w:t>
      </w:r>
    </w:p>
    <w:p>
      <w:r>
        <w:t>Auch der mit der Rechtsmitteleingabe eingereichte Bericht zur aktuellen Lage in Sri Lanka vom 16. Januar 2020 ist nicht geeignet, an der Gesamteinschätzung etwas zu ändern.</w:t>
      </w:r>
    </w:p>
    <w:p>
      <w:r>
        <w:rPr>
          <w:b/>
        </w:rPr>
        <w:t>E. 3.3.3</w:t>
      </w:r>
    </w:p>
    <w:p>
      <w:r>
        <w:t>Die aktuelle Lage in Sri Lanka ist nach den Terroranschlägen im April 2019 zwar als volatil zu beurteilen, es kann jedoch aufgrund dessen nicht auf eine generell erhöhte Gefährdung von zurückkehrenden tamilischen Staatsangehörigen geschlossen werden. Auch der Amtsantritt von Gotabaya Rajapaksa als Staatspräsident und die Ernennung seines Bruders als Premierminister ändert nichts an dieser Feststellung. Das Bundesverwaltungsgericht ist sich der Veränderungen in Sri Lanka bewusst, beobachtet die Entwicklungen aufmerksam und berücksichtigt diese bei seiner Entscheidfindung. Beim derzeitigen Kenntnisstand ist zwar durchaus von einer möglichen Akzentuierung der Gefährdungslage auszugehen, welcher Personen mit einem bestimmten Risikoprofil ausgesetzt sind beziehungsweise bereits vorher ausgesetzt waren (vgl. Referenzurteil des Bundesverwaltungsgerichts E-1866/2015 vom 15. Juli 2016, HRW, Sri Lanka: Families of "Disappeared" Threatened, 16.02.2020), es gibt jedoch zum heutigen Zeitpunkt keinen Grund zur Annahme, wonach seit dem Machtwechsel in Sri Lanka ganze Bevölkerungsgruppen kollektiv einer Verfolgungsgefahr ausgesetzt wären. Das Gericht prüft in jedem Einzelfall, ob ein persönlicher Bezug der asylsuchenden Personen zur Präsidentschaftswahl vom 16. November 2019 respektive deren Folgen besteht. Ein solcher konkreter Bezug ist im Fall des Beschwerdeführers nicht ersichtlich, da die von ihm behaupteten Risikofaktoren für eine asylbeachtliche Gefährdungslage nicht vorliegen. Die in der Beschwerde behaupteten engen Kontakte des Beschwerdeführers zur Diaspora in der Schweiz werden nicht weiter konkretisiert oder gar mit Beweismitteln untermauert. Auch seine Zugehörigkeit zur tamilischen Ethnie genügt für sich alleine nicht, um ein Gefährdungspotential asylbeachtlichen Ausmasses darzutun.</w:t>
      </w:r>
    </w:p>
    <w:p>
      <w:r>
        <w:rPr>
          <w:b/>
        </w:rPr>
        <w:t>E. 3.4</w:t>
      </w:r>
    </w:p>
    <w:p>
      <w:r>
        <w:t>Andere Asylvorbringen hat der Beschwerdeführer nicht vorgetragen. Zusammenfassend ergibt sich, dass es ihm nicht gelungen ist, darzulegen, dass er mit überwiegender Wahrscheinlichkeit asylrelevanten Nachteilen ausgesetzt worden ist oder solche künftig befürchten müsste. Das SEM hat sein Asylgesuch zu Recht und mit zutreffender Begründung abgewiesen.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dere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5.5</w:t>
      </w:r>
    </w:p>
    <w:p>
      <w:r>
        <w:t>Die allgemeine Situation im Heimatstaat des Beschwerdeführers ist nicht von einer landesweiten Situation von Krieg, Bürgerkrieg oder allgemeiner Gewalt geprägt (vgl. Referenzurteil E-1866/2015, a.a.O.). An dieser Einschätzung vermögen auch die am Ostersonntag 2019 erfolgten Anschläge auf Kirchen und Luxushotels nichts zu ändern. Auch in individueller Hinsicht sind keine Gründe ersichtlich, welche eine Wegweisung als unzumutbar erscheinen liessen. So besitzt der Beschwerdeführer eine gute Schulbildung (vgl. A46, Antwort 25). Er verfügt über Berufserfahrung im Heimatland als (...) und er hat mehrere Jahre lang insbesondere auch in Katar als (...) gearbeitet (vgl. A46, Antwort 25 sowie A4, Ziffer 2.05). Gemäss eigenen Angaben unterhält der Beschwerdeführer nach wie vor Kontakt zu seiner in Sri Lanka lebenden Familie, die mehrere Liegenschaften besitzt und deren finanzielle Lage als gut zu bezeichnen ist (vgl. A46, Antworten 27, 31 und 37). Der Beschwerdeführer verfügt in seiner Heimatregion Jaffna somit über ein tragfähiges familiäres und soziales Beziehungsnetz. Im Weiteren ist davon auszugehen, dass es ihm zumutbar sein sollte, nach seiner Rückkehr wieder eine Erwerbstätigkeit aufzunehmen und dadurch seine Existenz zu sichern. Das Gericht verkennt die schwierige Situation im Norden Sri Lankas nicht. Den Angaben des Beschwerdeführers sind jedoch keine stichhaltigen Hinweise zu entnehmen, die konkret gegen die Zumutbarkeit des Wegweisungsvollzuges sprechen würden.</w:t>
      </w:r>
    </w:p>
    <w:p>
      <w:r>
        <w:rPr>
          <w:b/>
        </w:rPr>
        <w:t>E. 5.6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Verfahrenskosten dem Beschwerdeführer aufzuerlegen (Art. 63 Abs. 1 VwVG) und auf insgesamt Fr. 750.- festzusetzen (Art. 1-3 des Reglements vom 21. Februar 2008 über die Kosten und Entschädigungen vor dem Bundesverwaltungsgericht [VGKE, SR 173.320.2]), nachdem mit Zwischenverfügung des Bundesverwaltungsgerichts vom 9. April 2020 das Gesuch um Gewährung der unentgeltlichen Prozessführung (inklusive -verbeiständung) abgewiesen wurde. Der am 21. April 2020 einbezahlte Kostenvorschuss in der Höhe von Fr. 750.- ist zur Bezahlung der Verfahrenskosten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