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E-1800/2016 vom 5. April 2016</w:t>
      </w:r>
    </w:p>
    <w:p>
      <w:r>
        <w:t>Bundesverwaltungsgericht, 2016-04-05, DE</w:t>
      </w:r>
    </w:p>
    <w:p>
      <w:r>
        <w:rPr>
          <w:b/>
        </w:rPr>
        <w:t xml:space="preserve">Quelle: </w:t>
      </w:r>
      <w:r>
        <w:t>https://mcp.opencaselaw.ch/entscheid/bvger_E-1800_2016</w:t>
      </w:r>
    </w:p>
    <w:p>
      <w:r>
        <w:t>FR: TAF E-1800/2016 du 5 avril 2016</w:t>
      </w:r>
    </w:p>
    <w:p>
      <w:r>
        <w:t>IT: TAF E-1800/2016 del 5 aprile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grundsätzlich einzutreten; nicht einzutreten ist auf den Antrag, es sei auf das Asylgesuch einzutreten, nachdem das SEM das Gesuch materiell geprüft hat.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gelangt das Gericht in Übereinstimmung mit der Vorinstanz zum Schluss, dass sich aus den Vorbringen des Beschwerdeführers und den von ihm eingereichten Beweismitteln keine Anhaltspunkte für eine begründete Furcht vor Verfolgungsmassnahmen im Sinne von Art. 3 AsylG ergeben. Zwar kann aufgrund der Aktenlage dem geltend gemachten Verschwinden seines Bruders und den Bemühungen seiner Mutter um Aufklärung seines Schicksals nicht von vornherein die Glaubhaftigkeit abgesprochen werden. Indessen lässt sich hieraus nicht schliessen, dass der Beschwerdeführer asylrelevante Nachteile zu befürchten hat. Seine Aussagen bezüglich der ihm angeblich von Agenten des CID überbrachten Vorladung wegen seiner einmaligen Teilnahme an einer Kundgebung sind undetailliert und wenig realistisch. Zudem ist nicht nachvollziehbar, dass die Mutter des Beschwerdeführers, welche gemäss seiner Darstellung regelmässig - und auch noch nach dem Zeitpunkt der angeblichen Vorladung durch den CID - an solchen Demonstrationen teil-genommen habe, von keinen entsprechenden behördlichen Verfolgungsmassnahmen betroffen war. Das vom Beschwerdeführer eingereichte, angeblich vom CID verfasste Schreiben vom (...) 2016, in welchem (...) wird, nennt nur Namen und Vornamen des Beschwerdeführers, nicht jedoch die im Behördenverkehr üblichen Zusatzangaben - wie etwa Geburtsdatum, Herkunft oder Personalien der Eltern - ohne welche eine klare Zuordnung nicht möglich ist. Das Papier weist auch keinen Briefkopf auf, was weitere Zweifel an seiner Authentizität weckt; ausserdem erstaunt, dass das Dokument (vom Beschwerdeführer fälschlicherweise als "Haftbefehl" bezeichnet) erst im (...) 2016, mithin rund (...) nachdem der Beschwerdeführer angeblich der Vorladung des CID keine Folge leistete, ausgestellt worden sein soll. Demnach kann diesem Dokument kein relevanter Beweiswert beigemessen werden. Auch die übrigen, grösstenteils nur in Form von Kopien eingereichten Beweismittel haben in Bezug auf die Asylvorbringen des Beschwerdeführers keine massgebliche Beweiskraft. Im Übrigen kann auf die überzeugenden, ausführlichen Erwägungen in der angefochtenen Verfügung verwiesen werden.</w:t>
      </w:r>
    </w:p>
    <w:p>
      <w:r>
        <w:rPr>
          <w:b/>
        </w:rPr>
        <w:t>E. 5.2</w:t>
      </w:r>
    </w:p>
    <w:p>
      <w:r>
        <w:t>Die Ausführungen in der Beschwerdeeingabe, in welcher der Beschwerdeführer im Wesentlichen seine Asylvorbringen wiederholt, ohne auf die Erwägungen der Vorinstanz im Einzelnen einzugehen, vermögen an dieser Einschätzung nichts zu ändern. Insbesondere trifft dies auch auf das nicht substanziierte Vorbringen zu, nach seiner Ausreise habe der CID seine Eltern befragt und eine Hausdurchsuchung durchgeführt. Auch dem Verweis auf die schlechte psychische Verfassung seiner Mutter kommt in diesem Zusammenhang keine Relevanz zu.</w:t>
      </w:r>
    </w:p>
    <w:p>
      <w:r>
        <w:rPr>
          <w:b/>
        </w:rPr>
        <w:t>E. 5.3</w:t>
      </w:r>
    </w:p>
    <w:p>
      <w:r>
        <w:t>Im Weiteren teilt das Gericht auch die Einschätzung der Vorinstanz, dass der Beschwerdeführer keine asylrelevanten Nachteile im Zusammenhang mit einer Überprüfung bei seiner Wiedereinreise in Sri Lanka zu befürchten hat. Er vermochte nicht glaubhaft darzulegen, dass er wegen seines Bruders in Sri Lanka mit ernsthaften Problemen konfrontiert war, weshalb sich aus der verwandtschaftlichen Beziehung keine zukünftig Gefährdung für ihn selber ableiten lässt. Sodann machte er nicht geltend, selber Mitglied der LTTE zu sein, diese unterstützt oder ein militärisches Training absolviert zu haben, und es ergeben sich keine Hinweise dafür, dass er bei einer Rückkehr als besonders wohlhabende Person wahrgenommen würde und dadurch einem erhöhten Entführungs- und Erpressungsrisiko ausgesetzt wäre. Die Zugehörigkeit zu einer besonders gefährdeten Gruppe von rückkehrenden Asylsuchenden ist daher nicht gegeben. Zu Recht wurde in der angefochtenen Verfügung in diesem Zusammenhang auch darauf hingewiesen, dass der Beschwerdeführer nach seinen Angaben in den Jahren 2014 und 2015 zweimal aus Sri Lanka aus- und wieder einreiste, ohne dabei von den Behörden irgendwie behelligt worden zu sein. Die vom Beschwerdeführer in der Beschwerdeeingabe geäusserte, nicht näher begründete Befürchtung, am Flughafen von den "Leuten vom Militär und CID" festgenommen, gefoltert und ermordet zu werden, vermag keine andere Einschätzung zu rechtfertigen.</w:t>
      </w:r>
    </w:p>
    <w:p>
      <w:r>
        <w:rPr>
          <w:b/>
        </w:rPr>
        <w:t>E. 5.4</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Menschenrechtslage in Sri Lanka lässt den Wegweisungsvollzug nicht generell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etwa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In Sri Lanka herrscht weder Krieg noch eine Situation allgemeiner Gewalt, seit der bewaffnete Konflikt zwischen der sri-lankischen Regierung und den LTTE ist im Mai 2009 zu Ende gegangen ist. Gemäss weiterhin geltender Praxis des Bundesverwaltungsgerichts ist der Wegweisungsvollzug in die Nordprovinz - mit Ausnahme des Vanni-Gebiets - grundsätzlich zumutbar, wobei sich eine zurückhaltende Beurteilung der individuellen Zumutbarkeitskriterien sowie eine Berücksichtigung des zeitlichen Elementes aufdrängt (vgl. BVGE 2011/24 E. 13.2.1). Weiterhin als unzumutbar gilt der Wegweisungsvollzug für das Vanni-Gebiet, welches zu Beginn des Jahres 2008 noch von den LTTE kontrolliert worden war und in welchem sich in der Folge bis zum endgültigen Sieg über die LTTE Kriegshandlungen abgespielt hatten (vgl. a.a.O. E. 13.2.2).</w:t>
      </w:r>
    </w:p>
    <w:p>
      <w:r>
        <w:rPr>
          <w:b/>
        </w:rPr>
        <w:t>E. 7.4.3</w:t>
      </w:r>
    </w:p>
    <w:p>
      <w:r>
        <w:t>An den früheren Wohnort des Beschwerdeführers, C._______, der im Vanni-Gebiet liegt, ist der Vollzug der Wegweisung gestützt auf die aktuelle Praxis des Bundesverwaltungsgerichts nicht zumutbar, weshalb das SEM zu Recht davon ausging, der Beschwerdeführer könne nicht in dieses Gebiet zurückkehren. Unter diesen Umständen ist zu prüfen, ob für ihn eine innerstaatliche Aufenthaltsalternative besteht, wobei der Vollzug der Wegweisung in einen anderen Landesteil gestützt auf die geltende Praxis begünstigende Faktoren, insbesondere die Existenz eines tragfähigen familiären oder sozialen Beziehungsnetzes sowie die Aussichten auf eine gesicherte Einkommens- und Wohnsituation erfordert (vgl. BVGE 2011/24 E. 13.2.2.3). Aus den Akten des vorinstanzlichen Verfahrens ergibt sich, dass zwar die Kernfamilie des jungen und gesunden Beschwerdeführers sowie der grösste Teil seiner Verwandtschaft nach wie vor im Vanni-Gebiet lebt, aber eine (...) in I._______, Region Jaffna, wohnhaft ist und dort ein Geschäft führt. Es kann davon ausgegangen werden, dass er auf die Unterstützung dieser Verwandten beim Aufbau einer Existenz in der Region Jaffna zählen kann und dass ihm die Wiederaufnahme dieser verwandtschaftlichen Beziehung zuzumuten ist. Zudem lassen die Angaben des Beschwerdeführers darauf schliessen, dass die wirtschaftliche Situation seiner Familie relativ gut ist und darf angenommen werden, dass er weiterhin auf finanzielle Unterstützung durch sein familiäres Beziehungsnetz im In- und Ausland (Schwester in J._______) zählen kann. Unter diesen Umständen ist nach Auffassung des Gerichts in Übereinstimmung mit der Vorinstanz eine Aufenthaltsalternative des Beschwerdeführers in der Region Jaffna zu bejahen. In der Beschwerdeeingabe wurde die Richtigkeit dieser Einschätzung des SEM mit keinem Wort bestritten.</w:t>
      </w:r>
    </w:p>
    <w:p>
      <w:r>
        <w:rPr>
          <w:b/>
        </w:rPr>
        <w:t>E. 7.4.4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gemäss Akten von seiner prozessualen Bedürftigkeit ausgegangen werden darf und seine Rechtsbegehren nicht aussichtslos im Sinne von Art. 65 Abs. 1 VwVG waren ist, in Gutheissung des Gesuchs um Gewährung der unentgeltlichen Prozessführung, von einer Kostenauflage abzusehen. Der Antrag auf Befreiung von der Kostenvorschusspflicht ist mit dem vorliegenden Direktentscheid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