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E-1799/2017 vom 3. Mai 2017</w:t>
      </w:r>
    </w:p>
    <w:p>
      <w:r>
        <w:t>Bundesverwaltungsgericht, 2017-05-03, DE</w:t>
      </w:r>
    </w:p>
    <w:p>
      <w:r>
        <w:rPr>
          <w:b/>
        </w:rPr>
        <w:t xml:space="preserve">Quelle: </w:t>
      </w:r>
      <w:r>
        <w:t>https://mcp.opencaselaw.ch/entscheid/bvger_E-1799_2017</w:t>
      </w:r>
    </w:p>
    <w:p>
      <w:r>
        <w:t>FR: TAF E-1799/2017 du 3 mai 2017</w:t>
      </w:r>
    </w:p>
    <w:p>
      <w:r>
        <w:t>IT: TAF E-1799/2017 del 3 maggio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Angefochten ist nur die vorinstanzliche Verweigerung der Anerkennung der Flüchtlingseigenschaft. Im Asylpunkt ist die Verfügung der Vorinstanz in Rechtskraft erwachsen. Gegenstand des vorliegenden Verfahrens bildet folglich einzig die Frage des Vorliegens einer flüchtlingsrechtlich relevanten Verfolgungsgefahr.</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Solche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5.1</w:t>
      </w:r>
    </w:p>
    <w:p>
      <w:r>
        <w:t>Die Vorinstanz begründet ihren Entscheid damit, der Beschwerdeführer habe unterschiedliche Angaben zum Ablauf der Ereignisse gemacht, weshalb seine diesbezüglichen Aussagen nicht glaubhaft seien. In der Befragung habe er von einem Vorfall mit dem Geheimdienst gesprochen, währendem er in der Anhörung zwei Festnahmen geltend gemacht und erstmals ausgeführt habe, dass er wöchentlich verpflichtet gewesen sei, sich beim Geheimdienst zu melden. Die mit der Grenzsituation zusammenhängenden Probleme wie die Landminen, die Gefechte sowie die Schwierigkeiten mit den dort stationierten Soldaten seien ebenso wie die Möglichkeit einer Einberufung in den Militärdienst nicht asylrelevant. Auch die illegale Ausreise aus Eritrea begründe keine Furcht vor einer zukünftigen asylrelevanten Verfolgung. Gemäss neuster Rechtsprechung des Bundesverwaltungsgerichtes könne nicht davon ausgegangen werden, der Beschwerdeführer werde aufgrund seiner illegalen Ausreise bei einer Rückkehr ernsthaften Nachteilen ausgesetzt sein. Anknüpfungspunkte, die ihn als missliebige Person erscheinen lassen würden, bestünden nicht.</w:t>
      </w:r>
    </w:p>
    <w:p>
      <w:r>
        <w:rPr>
          <w:b/>
        </w:rPr>
        <w:t>E. 5.2</w:t>
      </w:r>
    </w:p>
    <w:p>
      <w:r>
        <w:t>Der Beschwerdeführer bringt vor, seine Aussagen zu den Festnahmen seien aufgrund seiner widerspruchsfreien Schilderungen als glaubhaft zu werten. Er habe konsistente Zeitangaben machen können. Seine Ausführungen im Zusammenhang mit der Meldepflicht seien plausibel und von Originalität geprägt. Da es sich bei der Befragung zur Person bloss um eine summarische Befragung handle, habe er die ihm auferlegte Meldepflicht dort nicht erwähnt. Die fehlende Präzision in seinen Erzählungen sei auf sein Alter und seinen Bildungsstand zurückzuführen, was bei den Befragungen nicht berücksichtig worden sei. Er habe seinen Möglichkeiten entsprechend Auskunft gegeben.</w:t>
      </w:r>
    </w:p>
    <w:p>
      <w:r>
        <w:rPr>
          <w:b/>
        </w:rPr>
        <w:t>E. 5.3</w:t>
      </w:r>
    </w:p>
    <w:p>
      <w:r>
        <w:t>Die Vorinstanz hat zu Recht festgestellt, dass die Aussagen des Beschwerdeführers zahlreiche Widersprüche und Ungereimtheiten aufweisen. So sind die anlässlich der Befragung und der Anhörung gemachten Angaben betreffend die Anzahl der Festnahmen widersprüchlich. An der Befragung gab er zu Protokoll, er sei letztes Jahr festgenommen und so hart geschlagen worden, dass er einen Armbruch erlitten habe. Zuvor habe er mit den Soldaten nie Probleme gehabt (Akten der Vorinstanz A8/14; F7.01). Anlässlich der Anhörung gab er hingegen an, Monate vor der Festnahme sei er ausserdem einen Tag lang gefesselt, schliesslich aber ohne Auflagen freigelassen worden. Zudem machte er in der Anhörung erstmals geltend, ihm sei eine wöchentliche Meldepflicht auferlegt worden. Die Erklärung, hierbei habe es sich nicht um eine Kontaktaufnahme durch die Behörden gehandelt, sondern er selbst habe aktiv werden müssen, weshalb er die Frage, ob weitere Kontakte mit den Behörden bestanden hätten, verneint habe, überzeugt nicht. Zumal die Frage, ob es aufgrund der Verhaftung irgendwelche Konsequenzen gab, verneint wurde (vgl. Akten der Vorinstanz; A8/14, F7.01). Ebenso ist es nicht nachvollziehbar, dass der Beschwerdeführer seiner Meldepflicht trotz seiner negativen Erfahrungen mit dem Geheimdienst aufgrund des Besuchs eines Fussballspieles nicht nachgekommen sein soll, zumal er angab, er habe Angst gehabt, dass wegen dem Versäumnis etwas passieren würde (vgl. Akten der Vorinstanz A15/25; F109-113). Überdies wäre auch unter Berücksichtigung seines jugendlichen Alters zu erwarten gewesen, dass er seine Festnahme und die erlittenen Schläge anschaulich und mit konkreten Realkennzeichen hätte schildern können. Stattdessen blieben die Angaben zu diesem Ereignis vage und substanzarm, wodurch der Eindruck entsteht, dass er nicht auf persönlich Erlebtes zurückgreift. Zudem ist auf die widersprüchliche Schilderung seiner Flucht hinzuweisen. An der Anhörung gab er zunächst an, er sei zusammen mit seinem Onkel ausgereist. Anschliessend führte er aus, er habe seinen Onkel in Italien getroffen, dieser sei aber dort geblieben. Auf erneute Nachfrage revidierte er seine Aussage und erklärte, sein Onkel sei vor ihm ausgereist (vgl. Akten der Vorinstanz A15/25; F202-205). In Anbetracht dieser Widersprüche und Ungereimtheiten ist in Übereinstimmung mit der Vorinstanz festzuhalten, dass es dem Beschwerdeführer nicht gelungen ist, eine im Zeitpunkt seiner Ausreise aus Eritrea bestehende oder drohende asylrechtlich relevante Gefährdung glaubhaft zu machen.</w:t>
      </w:r>
    </w:p>
    <w:p>
      <w:r>
        <w:rPr>
          <w:b/>
        </w:rPr>
        <w:t>E. 5.4</w:t>
      </w:r>
    </w:p>
    <w:p>
      <w:r>
        <w:t>Daneben ist der Vorinstanz zuzustimmen, dass die Gefahren, die eine Grenzregion generell birgt sowie die Möglichkeit in den Militärdienst einberufen zu werden, keinen Asylgrund darstellen. Die Frage der Zulässigkeit der Praxisänderung der Vorinstanz bezüglich der flüchtlingsrechtlichen Beurteilung der illegalen Ausreise aus Eritrea ist vom Bundesverwaltungsgericht im genannten Koordinationsverfahren jüngst geklärt worden. Das Gericht kommt zum Schluss, dass allein aufgrund einer illegalen Ausreise keine begründete Furcht vor asylrechtlich beachtlicher Verfolgung angenommen werden kann (ausführlich dazu Urteil D-7898/2015, E. 4.6-5.1 [vgl. oben, E. 4.3]). Weitere Anknüpfungspunkte, welche den Beschwerdeführer in den Augen des eritreischen Regimes als missliebige Person erscheinen lassen beziehungsweise zu einer Schärfung des Profils und dadurch zu einer flüchtlingsrechtlich relevanten Verfolgungsgefahr führen könnten, konnte er nach dem Gesagten nicht glaubhaft machen. Somit ist vorliegend nicht von einer asylrechtlich beachtlichen Verfolgung auszugehen.</w:t>
      </w:r>
    </w:p>
    <w:p>
      <w:r>
        <w:rPr>
          <w:b/>
        </w:rPr>
        <w:t>E. 6.1</w:t>
      </w:r>
    </w:p>
    <w:p>
      <w:r>
        <w:t>Lehnt die Vorinstanz das Asylgesuch ab oder tritt sie nicht darauf ein, so verfügt sie in der Regel die Wegweisung aus der Schweiz und ordnet den Vollzug an (Art. 44 AsylG).</w:t>
      </w:r>
    </w:p>
    <w:p>
      <w:r>
        <w:rPr>
          <w:b/>
        </w:rPr>
        <w:t>E. 6.2</w:t>
      </w:r>
    </w:p>
    <w:p>
      <w:r>
        <w:t>Die Vorinstanz hat in der Verfügung vom 21. Februar 2017 die vorläufige Aufnahme des Beschwerdeführers in der Schweiz angeordnet. Demnach erübrigen sich praxisgemäss Ausführungen zur Zulässigkeit, Zumutbarkeit und Möglichkeit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Der Beschwerdeführer beantragt die Gewährung der unentgeltlichen Prozessführung gemäss Art. 65 Abs. 1 VwVG sowie die unentgeltliche Verbeiständung in der Person der Unterzeichnenden. Aufgrund der vorstehenden Erwägungen ergibt sich, dass seine Begehren als aussichtslos zu gelten haben. Damit ist eine der kumulativ zu erfüllenden Voraussetzungen nicht gegeben, weshalb die Gesuche abzuweisen sind.</w:t>
      </w:r>
    </w:p>
    <w:p>
      <w:r>
        <w:rPr>
          <w:b/>
        </w:rPr>
        <w:t>E. 8.2</w:t>
      </w:r>
    </w:p>
    <w:p>
      <w:r>
        <w:t>Bei diesem Ausgang des Verfahrens sind die Kosten von Fr. 750.- (Art. 1-3 des Reglements vom 21. Februar 2008 über die Kosten und Entschädigungen vor dem Bundesverwaltungsgericht [VGKE, SR 173.320.2]) der Beschwerdeführerin aufzuerlegen (Art. 63 Abs. 1 VwVG). Der Antrag auf Verzicht auf Erhebung eines Kostenvorschusses ist mit vorliegendem Urteil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