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E-1794/2018 vom 5. März 2020</w:t>
      </w:r>
    </w:p>
    <w:p>
      <w:r>
        <w:t>Bundesverwaltungsgericht, 2020-03-05, FR</w:t>
      </w:r>
    </w:p>
    <w:p>
      <w:r>
        <w:rPr>
          <w:b/>
        </w:rPr>
        <w:t xml:space="preserve">Quelle: </w:t>
      </w:r>
      <w:r>
        <w:t>https://mcp.opencaselaw.ch/entscheid/bvger_E-1794_2018</w:t>
      </w:r>
    </w:p>
    <w:p>
      <w:r>
        <w:t>FR: TAF E-1794/2018 du 5 mars 2020</w:t>
      </w:r>
    </w:p>
    <w:p>
      <w:r>
        <w:t>IT: TAF E-1794/2018 del 5 marzo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Le recourant a qualité pour recourir ; présenté dans la forme et dans les délais prescrits par la loi, son recours est recevable (art. 48 al. 1 et 52 al. 1 PA et anc. art. 108 al. 1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(art. 62 al. 4 PA) ou par l'argumentation juridique développée dans la décision entreprise (cf. Moor/Poltier, Droit administratif, vol. II, 3e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w:t>
      </w:r>
    </w:p>
    <w:p>
      <w:r>
        <w:rPr>
          <w:b/>
        </w:rPr>
        <w:t>E. 4.1</w:t>
      </w:r>
    </w:p>
    <w:p>
      <w:r>
        <w:t>En l'occurrence, si la description par le recourant de son enlèvement, de sa séquestration et des tortures subies pourrait correspondre au type de pratique des milices chiites actives à C._______, il n'en reste pas moins que son récit comporte des détails incohérents, voire contradictoires.</w:t>
      </w:r>
    </w:p>
    <w:p>
      <w:r>
        <w:rPr>
          <w:b/>
        </w:rPr>
        <w:t>E. 4.1.1</w:t>
      </w:r>
    </w:p>
    <w:p>
      <w:r>
        <w:t>Depuis 2006, les milices précitées ont en effet couramment pratiqué la menace, les enlèvements avec demande de rançon ou le meurtre, notamment pour chasser les sunnites de plusieurs quartiers de C._______. (...), en particulier, constitue la plus importante de ces milices dans la région de C._______. Elles sont également connues pour faire respecter la morale en punissant, par exemple, les personnes buvant de l'alcool, pariant ou exploitant des prostituées (cf. arrêt du Tribunal E-4206/2015 du 17 février 2016 consid. 3.1 et réf. cit. ; EASO, Country of Origin Information Report Iraq - Guidance note and common analysis, 06.2019, p. 44, consulté le 26 février 2020, sous https://www.easo.europa.eu/sites/default/files/Country_Guidance_Iraq_2019.pdf). Ni le gouvernement ni l'armée irakiens, dominés par les chiites, n'ont la volonté ou les moyens de contrarier ses activités, ce groupe armé entretenant avec eux de nombreux liens et leur apportant son aide en cas de nécessité (cf. Finnish Immigration Service, Security Situation in Baghdad - The Shia Militias, avril 2015). Le gouvernement irakien a du reste adopté en 2016 l'Ordre exécutif 91, faisant des milices irakiennes, dont fait partie (...), un corps « militaire indépendant », membre à part entière de l'armée irakienne (cf. Mansour Renad, More than Militias : Iraq's Popular Mobilization Forces are Here to Stay [War on the Rocks], 3 April 2018, consulté le 26 février 2020, sous https://warontherocks.com/2018/04/more-than-militias-iraqs-popularmobili zation-forces-are-here-to-stay/). Dans ce contexte, il arrive que la police néglige ou refuse d'investiguer (cf. Finnish Immigration Service, op. cit., pt 6.1, p. 21 et 22 ; EASO Country of Origin Information Report Iraq - Actors of Protection, 10.2018, p. 46 et réf. cit., consulté le 26 février 2020, sous https:// coi.easo.europa.eu/administration/easo/PLib/Iraq_Actors_of_Protection_2018.pdf), de sorte que les sunnites ne prennent souvent pas la peine de signaler aux autorités les atteintes dont ils sont victimes.</w:t>
      </w:r>
    </w:p>
    <w:p>
      <w:r>
        <w:rPr>
          <w:b/>
        </w:rPr>
        <w:t>E. 4.1.2</w:t>
      </w:r>
    </w:p>
    <w:p>
      <w:r>
        <w:t>Cela étant, l'intéressé n'a pas été apte à décrire de manière cohérente son évasion ainsi que les conditions de sa séquestration, de sorte que cette dernière ne parait pas vraisemblable. Il n'est d'abord pas convaincant qu'il ait pu s'évader depuis la seule pièce de la maison se fermant à clé de l'intérieur et ayant une fenêtre - soit les toilettes -, alors qu'un garde l'attendait derrière la porte, que son exécution devait avoir lieu le même jour et que les gardes avaient tout mis en oeuvre pour éviter sa fuite durant les cinq derniers jours, le surveillant en permanence et le changeant de chambre régulièrement (cf. procès-verbal [ci-après : p-v] d'audition du 13 septembre 2016, R 47, 61 ss et 72). Ensuite, il n'est pas crédible qu'il ait pu courir pendant trente minutes à travers la campagne sans que les gardes ne remarquent rapidement son évasion et le rattrapent (cf. p-v d'audition du 13 septembre 2016, R 47). De même, les conditions dans lesquelles son magasin aurait été vendu avant sa fuite du pays ne sont pas plausibles. En effet, quand bien même le recourant allègue que seule sa marchandise aurait été détériorée suite à l'incendie criminel, il est peu probable qu'il ait pu vendre son fonds de commerce - soit en particulier le local ayant subi, en tous les cas, les émanations de fumée - en moins d'une semaine avant son départ (cf. p-v d'audition du 17 septembre 2015, pt 5.01, et du 13 septembre 2016, R 47 ; recours du 26 mars 2018, p. 4). Par ailleurs, il se contredit en indiquant tantôt que sa femme l'aurait vendu (cf. p-v d'audition du 13 septembre 2016, R 82), tantôt que sa mère l'aurait fait (cf. p-v d'audition du 13 septembre 2016, R 47 et recours du 26 mars 2018, p. 4). Il n'est enfin pas concevable non plus qu'informé par le juge que des mesures seraient prises s'agissant des menaces de mort proférées (cf. l'attestation du Ministère de la Justice du (...), pièce A20 du dossier du SEM), il ne se soit pas adressé aux autorités déjà saisies pour leur annoncer l'enlèvement, la séquestration et les tortures dont il venait d'être victime, suite à ces menaces. A ce propos, les moyens de preuve déposés, à savoir l'attestation du Ministère de l'Intérieur du (...) et celle précitée, sont uniquement propres à attester qu'il aurait déposé une plainte pour avoir été menacé de mort par l'organisation « Etat Islamique » en date du (...) 2015 (cf. ibidem), non pas à établir, voire rendre vraisemblable la concrétisation desdites menaces, à savoir l'enlèvement et les tortures allégués.</w:t>
      </w:r>
    </w:p>
    <w:p>
      <w:r>
        <w:rPr>
          <w:b/>
        </w:rPr>
        <w:t>E. 4.1.3</w:t>
      </w:r>
    </w:p>
    <w:p>
      <w:r>
        <w:t>En conclusion, le Tribunal ne saurait retenir pour vraisemblables la séquestration du recourant par le groupe chiite (...) ainsi que les tortures qui lui auraient été infligées dans ce contexte.</w:t>
      </w:r>
    </w:p>
    <w:p>
      <w:r>
        <w:rPr>
          <w:b/>
        </w:rPr>
        <w:t>E. 4.2</w:t>
      </w:r>
    </w:p>
    <w:p>
      <w:r>
        <w:t>Il s'agit encore de déterminer si les menaces de mort du groupe (...) - lequel aurait signé la lettre lui ayant été adressée sous l'appellation « Etat islamique » ou « Etat de l'Irak islamique » (cf. p-v d'audition du 13 septembre 2016, R 48, ainsi que pièces A20 du dossier du SEM) - sont décisives en l'état pour la reconnaissance de la qualité de réfugié et l'octroi de l'asile au recourant.</w:t>
      </w:r>
    </w:p>
    <w:p>
      <w:r>
        <w:rPr>
          <w:b/>
        </w:rPr>
        <w:t>E. 4.2.1</w:t>
      </w:r>
    </w:p>
    <w:p>
      <w:r>
        <w:t>En l'occurrence, le recourant allègue avoir été menacé de mort par le groupe (...) en raison de son activité commerciale estimée contraire à l'Islam. Cela étant, cette activité repose uniquement sur ses déclarations, aucune pièce propre à l'attester - notamment des documents relatifs à la comptabilité comme un livre de compte, le contrat d'achat de son commerce ou l'acte de vente de celui-ci - n'ayant été déposée. La production d'une photographie sur laquelle le recourant apparaît assis derrière le comptoir d'un magasin (...) ne permet pas, à elle seule, d'établir sa qualité de propriétaire (cf. pièce A20 du dossier du SEM). Dans ces conditions, la réalité des menaces proférées en relation avec ledit commerce est fortement sujette à caution, d'autant plus que le recourant n'a pas réussi à rendre vraisemblable la mise à exécution alléguée de ces menaces. Dans ce contexte et indépendamment de leur authenticité, les documents relatifs à la plainte déposée par le recourant en raison des agissements avancés ne sont pas propres à attester, à eux-seuls, la vraisemblance de ceux-ci, le dépôt d'une plainte n'établissant pas encore la réalité des faits pour lesquels elle est déposée. Au demeurant même à retenir la vraisemblance des menaces alléguées, force est de constater que le recourant a produit des documents qui attestent que les autorités irakiennes se sont saisies de sa plainte et qu'elles n'entendaient pas rester inactives. Il ressort en effet du document d'instruction du Ministère de la Justice du (...) (cf. pièce A 20 du dossier du SEM) que, suite à la plainte déposée par le recourant le (...) 2015, la Cour pénale a ordonné « de prendre les mesures nécessaires et de poursuivre les auteurs ». Dans ces conditions et, en particulier, en quittant le pays trois ou cinq jours après avoir appris le prononcé de telles mesures, le recourant n'a pas démontré que les autorités de son pays encourageraient, soutiendraient, voire toléreraient, de tels agissements ou qu'elles seraient incapables de lui offrir, le cas échéant, une protection adéquate.</w:t>
      </w:r>
    </w:p>
    <w:p>
      <w:r>
        <w:rPr>
          <w:b/>
        </w:rPr>
        <w:t>E. 4.2.2</w:t>
      </w:r>
    </w:p>
    <w:p>
      <w:r>
        <w:t>Enfin, son magasin ne lui appartenant plus aujourd'hui, ses craintes d'être persécuté à son retour pour ses activités commerciales ne sont en tout état de cause plus actuelles. Il ressort, en effet, de ses propres déclarations que ses parents n'ont fait l'objet d'aucune mesure de représailles de la part de ce groupe de miliciens après sa fuite (cf. p-v d'audition du 13 septembre 2016, R 80). L'intéressé a en outre ajouté qu'il avait eu peur pour sa famille en Irak, mais qu'il était tranquillisé depuis la vente de sa boutique, sachant qu'ils n'allaient plus avoir de soucis à partir de ce moment (cf. p-v d'audition du 13 septembre 2016, R 86). Il appert dès lors que la cessation de cette activité a fait disparaître toute crainte de persécution future, ce que confirme du reste aussi le retour de sa femme à C._______ avec leurs enfants.</w:t>
      </w:r>
    </w:p>
    <w:p>
      <w:r>
        <w:rPr>
          <w:b/>
        </w:rPr>
        <w:t>E. 5</w:t>
      </w:r>
    </w:p>
    <w:p>
      <w:r>
        <w:t>Il s'ensuit que le recours, en tant qu'il conteste le refus de reconnaissance de la qualité de réfugié et le rejet de la demande d'asile, doit être rejeté.</w:t>
      </w:r>
    </w:p>
    <w:p>
      <w:r>
        <w:rPr>
          <w:b/>
        </w:rPr>
        <w:t>E. 6</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 recourant étant au bénéfice d'une admission provisoire, il n'y a pas lieu d'examiner les questions liées à l'exécution du renvoi.</w:t>
      </w:r>
    </w:p>
    <w:p>
      <w:r>
        <w:rPr>
          <w:b/>
        </w:rPr>
        <w:t>E. 8</w:t>
      </w:r>
    </w:p>
    <w:p>
      <w:r>
        <w:t>Il suit de ce qui précède que la décision attaquée ne viole pas le droit fédéral et a établi de manière exacte et complète l'état de fait pertinent (art. 106 al. 1 LAsi). En conséquence, le recours est rejeté.</w:t>
      </w:r>
    </w:p>
    <w:p>
      <w:r>
        <w:rPr>
          <w:b/>
        </w:rPr>
        <w:t>E. 9.1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9.2</w:t>
      </w:r>
    </w:p>
    <w:p>
      <w:r>
        <w:t>Le recourant étant cependant au bénéfice de l'assistance judiciaire totale, admise par ordonnance du 10 avril 2018, il n'est pas perçu de frais de procédure (art. 65 al. 1 PA et anc. art. 110a al. 1 LAsi).</w:t>
      </w:r>
    </w:p>
    <w:p>
      <w:r>
        <w:rPr>
          <w:b/>
        </w:rPr>
        <w:t>E. 9.3.1</w:t>
      </w:r>
    </w:p>
    <w:p>
      <w:r>
        <w:t>En l'absence de décompte de prestations, le Tribunal fixe l'indemnité des mandataires commis d'office sur la base du dossier (art. 14 al. 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w:t>
      </w:r>
    </w:p>
    <w:p>
      <w:r>
        <w:rPr>
          <w:b/>
        </w:rPr>
        <w:t>E. 9.3.2</w:t>
      </w:r>
    </w:p>
    <w:p>
      <w:r>
        <w:t>Dans le cas présent, compte tenu de l'absence de note de frais et au regard des écritures de la mandataire désignée d'office, déposées au nom du recourant et de son épouse (cf. chiffre 3 du dispositif de la décision de radiation du 11 avril 2019, dans l'affaire E-7473/2018), l'indemnité à la charge du Tribunal est arrêtée à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