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E-1790/2024 vom 27. März 2024</w:t>
      </w:r>
    </w:p>
    <w:p>
      <w:r>
        <w:t>Bundesverwaltungsgericht, 2024-03-27, DE</w:t>
      </w:r>
    </w:p>
    <w:p>
      <w:r>
        <w:rPr>
          <w:b/>
        </w:rPr>
        <w:t xml:space="preserve">Quelle: </w:t>
      </w:r>
      <w:r>
        <w:t>https://mcp.opencaselaw.ch/entscheid/bvger_E-1790_2024</w:t>
      </w:r>
    </w:p>
    <w:p>
      <w:r>
        <w:t>FR: TAF E-1790/2024 du 27 mars 2024</w:t>
      </w:r>
    </w:p>
    <w:p>
      <w:r>
        <w:t>IT: TAF E-1790/2024 del 27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w:t>
      </w:r>
    </w:p>
    <w:p>
      <w:r>
        <w:t>Der Beschwerdeführer moniert in seiner Beschwerdeschrift in formeller Hinsicht, er habe bereits anlässlich des Dublin-Gesprächs ausgeführt, zu befürchten, dass seine Aussagen nicht «ganz korrekt» übersetzt würden. Genau dies sei nun geschehen; der Inhalt des Dublin-Gesprächs stimme nicht mit seinen Aussagen überein und gebe nicht wieder, was er in Kroatien für Misshandlungen erlitten habe. Damit rügt er implizit eine unrichtige sowie unvollständige Feststellung des rechtserheblichen Sachverhalts. Den vorliegenden Akten - namentlich dem Protokoll des Dublin-Gesprächs - lässt sich eindeutig entnehmen, dass das gesamte Protokoll dem Beschwerdeführer «Satz für Satz» von seiner anwesenden Rechtsvertretung vorgelesen und vom Dolmetscher übersetzt wurde. Dieser Umstand wurde sodann vom Beschwerdeführer selbst sowie von seiner Rechtsvertretung und dem Dolmetscher mittels eigenhändiger Unterschrift bestätigt. Der Beschwerdeführer hat denn auch eigenständig Streichungen beziehungsweise Ergänzungen am Protokoll vorgenommen (vgl. SEM-Akte [...]-10/3). Somit widersprechen die diesbezüglichen Ausführungen des Beschwerdeführers der Aktenlage, weshalb er daraus auch nichts zu seinen Gunsten abzuleiten vermag. Die Vorinstanz hat den Sachverhalt demnach korrekt und vollständig festgestellt. Dementsprechend erweist sich die formelle Rüge als unbegründet.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2019 VI/7 E. 4-6;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Ein Abgleich der Fingerabdrücke des Beschwerdeführers mit der «Eurodac»-Datenbank ergab, dass dieser am (...) Oktober 2023 in Kroatien ein Asylgesuch gestellt hatte (vgl. SEM-Akte [...]-7/1). Das SEM hat die kroatischen Behörden daher zu Recht am 22. Februar 2024 um Wiederaufnahme des Beschwerdeführers gestützt auf Art. 18 Abs. 1 Bst. b Dublin-III-VO ersucht (vgl. SEM-Akte [...]-12/5), zumal das SEM auch zu Recht davon ausging, dass sich der Beschwerdeführer nicht mehrere Monate in C._______ und somit auch nicht ausserhalb des Dublin-Raums aufgehalten hat (vgl. Verfügung des SEM vom 11. März 2024 Ziff. II S. 3 f.), was auf Beschwerdeebene auch nicht mehr bestritten wird. Die kroatischen Behörden haben sodann dem Wiederaufnahmegesuch des SEM gestützt auf Art. 20 Abs. 5 Dublin-III-VO - im Wissen um den geltend gemachten mehrmonatigen Aufenthalt des Beschwerdeführers in C._______ - ausdrücklich zugestimmt (vgl. SEM-Akte [...]-17/2). Nach dem Gesagten ist die grundsätzliche Zuständigkeit Kroatiens für die Durchführung des Asyl- und Wegweisungsverfahrens betreffend den Beschwerdeführer (weiterhin) gegeben. Der auf Beschwerdeebene erneut geltend gemachte Umstand, dass er zur Abgabe seiner Fingerabdrücke in Kroatien gezwungen worden sei, vermag daran nichts zu ändern (vgl. dazu auch Verfügung des SEM vom 11. März 2024 Ziff. II S. 3).</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6.2</w:t>
      </w:r>
    </w:p>
    <w:p>
      <w:r>
        <w:t>Gemäss ständiger Rechtsprechung des Bundesverwaltungsgerichts weisen das Asylverfahren und die Aufnahmebedingungen in Kroatien keine systemischen Schwachstellen auf (vgl. unter vielen: Urteile des BVGer F-1483/2024 vom 18. März 2024 E. 6.2, E-1306/2024 vom 7. März 2024 E. 6, F-773/2024 vom 13. Februar 2024 E. 7.3 und E-6574/2023 vom 1. Dezember 2023 S. 5 ff., je mit Hinweisen auf das Referenzurteil des BVGer E-1488/2020 vom 22. März 2023 E. 9.5). Demnach sind Dublin-Überstellungen nach Kroatien grundsätzlich sowohl in «take-charge» (Aufnahme) als auch in «take-back» (Wiederaufnahme) Verfahren zulässig (Referenzurteil E-1488/2020 E. 9.5). Die in der Beschwerdeschrift zitierten Berichte (u.a. Human Rights Watch, «Like We Were Just Animals» - Pushbacks of People Seeking Protection from Croatia to Bosnia and Herzegovina, Mai 2023; SFH, Juristische Analyse zu Kroatien: SFH beurteilt aktuelle Praxis der Schweiz kritisch, 10. März 2023, &lt; https://www.fluechtlingshilfe.ch/publikationen/news-und-stories/juristische-analyse-zu-kroatien-sfh-beurteilt-aktuelle-praxis-der-schweiz-kritisch &gt;; Äusserungen einer Delegation der NGOs «Centre for Peace Studies» und «Are You Serious?» anlässlich der Verleihung des Menschenrechtspreises «Offene Alpen» am 15. Juni 2023 in Bern, vgl. Constanze Warta, Schweiz/Kroatien: Menschenrechtspreis auf der Balkanroute, 20. Juli 2023, &lt; https://forumcivique.org/artikel/schweiz-kroatien-menschenrechtspreis-auf-der-balkanroute &gt;; Solidarité sans frontières und Droit de Rester, Eine Spirale der Gewalt. Dublin-Rückführungen nach Kroatien und die Rolle der Schweiz, 28. Juni 2023, &lt; www.sosf.ch/cms/upload/230628_Sosf_DublinKroatien_Spirale_der_Gewalt_DE_WEB.pdf &gt;; sämtliche Berichte abgerufen am 26.03.2024) vermögen nichts daran zu ändern. Schliesslich ändert auch der Hinweis auf die kroatische Asylstatistik nichts, wonach in Kroatien im Jahre 2022 gerade einmal 21 Personen einen Schutzstatus erhalten hätten und lediglich fünf Asylgesuche von afghanischen Staatsangehörigen geprüft worden seien, zumal es sich beim Beschwerdeführer um einen türkischen Staatsangehörigen handelt.</w:t>
      </w:r>
    </w:p>
    <w:p>
      <w:r>
        <w:rPr>
          <w:b/>
        </w:rPr>
        <w:t>E. 6.3</w:t>
      </w:r>
    </w:p>
    <w:p>
      <w:r>
        <w:t>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ist verpflichtet,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Insbesondere lassen auch die vom Beschwerdeführer bei seiner illegalen Einreise nach Kroatien angeblich erlebten Vorkommnisse (Beschimpfung und Schläge, Abnahme des Telefons, vorübergehendes Einsperren in ein Polizeiauto mit weiteren Personen, lediglich Erhalt von Wasser und Brot) nicht den Schluss zu, er habe bei einer Überstellung nach Kroatien mit hoher Wahrscheinlichkeit eine unmenschliche oder erniedrigende Behandlung im Sinne von Art. 3 EMRK, Art. 3 FoK oder Art. 4 EU-Grundrechtecharta zu gewärtigen. Er vermag somit kein konkretes und ernsthaftes Risiko darzutun, die kroatischen Behörden würden in seinem Fall bei der Rückkehr ihren völkerrechtlichen Verpflichtungen nicht nachkommen. Er wird sich, wie vom SEM zutreffend erläutert, nach der Dublin-Überstellung in einer anderen Situation wiederfinden als nach seiner ersten (illegalen) Einreise nach Kroatien. Für den Fall, dass er dennoch von Behördenvertretern rechtswidrig behandelt würde, hätte er sich an das kroatische Justizwesen oder die dortigen Aufsichtsbehörden zu wenden. Der Beschwerdeeinwand, wonach dies möglicherweise mit grösseren Schwierigkeiten verbunden sein könnte als in der Schweiz, ändert daran nichts und weist im Übrigen auch nicht per se auf systemische Schwachstellen im kroatischen Asylsystem hin (vgl. u.a. Urteil des BVGer E-6609/2023 vom 8. Dezember 2023 E. 7.2). Es bestehen sodann keine Gründe für die Annahme, Kroatien werde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 Bei einer allfälligen vorübergehenden Einschränkung der ihm zustehenden Aufnahmebedingungen könnte er sich nötigenfalls an die kroatischen Behörden wenden und seine Rechte auf dem Rechtsweg einfordern (Art. 26 der Aufnahmerichtlinie). Schliesslich steht ihm die Möglichkeit offen, die vor Ort tätigen karitativen Organisationen zu kontaktieren. Auf die zutreffende Erwägung in der angefochtenen Verfügung und die entsprechenden Hinweise kann verwiesen werden (vgl. Verfügung des SEM vom 11. März 2024 Ziff. II S. 4 ff.).</w:t>
      </w:r>
    </w:p>
    <w:p>
      <w:r>
        <w:rPr>
          <w:b/>
        </w:rPr>
        <w:t>E. 7.3</w:t>
      </w:r>
    </w:p>
    <w:p>
      <w:r>
        <w:t>Gemäss vorliegender Aktenlage sind keine gesundheitlichen Probleme ausgewiesen, der Beschwerdeführer gilt demnach als gesund (vgl. SEM-Akte [...]-10/3). Die beschwerdeweisen Mutmassungen, er befürchte aufgrund seiner Erlebnisse in Kroatien bleibende physische und psychische Schäden davon getragen zu haben, ändern daran nichts. Es liegen keine Hinweise vor, wonach Kroatien dem Beschwerdeführer eine nach dessen Überstellung allenfalls notwendig werdende medizinische Behandlung verweigern würde. Der Beschwerdeführer legte nicht dar, dass er nicht reisefähig sei oder eine Überstellung seine Gesundheit ernsthaft gefährden würde.</w:t>
      </w:r>
    </w:p>
    <w:p>
      <w:r>
        <w:rPr>
          <w:b/>
        </w:rPr>
        <w:t>E. 7.4</w:t>
      </w:r>
    </w:p>
    <w:p>
      <w:r>
        <w:t>Eine Überstellung nach Kroatien erweist sich demnach als zulässig, und es liegen keine zwingenden Gründe für einen Selbsteintritt der Schweiz nach Art. 17 Abs. 1 Dublin-III-VO vor. Bei der Anwendung der Kann-Bestimmung von Art. 29a Abs. 3 AsylV 1 verfügt das SEM über einen Ermessensspielraum (vgl. BVGE 2015/9 E. 7 f.). Vorliegend bestehen keine Hinweise auf eine Ermessensunterschreitung oder andere, nicht gesetzeskonforme Ausübung des Ermessens (Ermessensmissbrauch, Überschreitung des Ermessens). Bei dieser Sachlage enthält sich das Gericht in diesem Zusammenhang weiterer Äusserungen.</w:t>
      </w:r>
    </w:p>
    <w:p>
      <w:r>
        <w:rPr>
          <w:b/>
        </w:rPr>
        <w:t>E. 7.5</w:t>
      </w:r>
    </w:p>
    <w:p>
      <w:r>
        <w:t>Nach dem Gesagten bleibt Kroatien der für die Behandlung des Asylgesuchs des Beschwerdeführers zuständige Mitgliedstaat gemäss Dublin-III-VO. Der Vollständigkeit halber ist festzuhalten, dass die Dublin-III-VO den Schutzsuchenden kein Recht einräumt, den ihren Antrag prüfenden Staat selbst auszuwählen (vgl. auch BVGE 2010/45 E. 8.3).</w:t>
      </w:r>
    </w:p>
    <w:p>
      <w:r>
        <w:rPr>
          <w:b/>
        </w:rPr>
        <w:t>E. 8</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 Es besteht nach dem Gesagten keine Veranlassung zur Rückweisung der Sache an die Vorinstanz im Sinne des Eventualbegehrens.</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 Der angeordnete Vollzugsstopp fällt mit vorliegendem Urteil dahin.</w:t>
      </w:r>
    </w:p>
    <w:p>
      <w:r>
        <w:rPr>
          <w:b/>
        </w:rPr>
        <w:t>E. 11</w:t>
      </w:r>
    </w:p>
    <w:p>
      <w:r>
        <w:t>Das mit der Beschwerde gestellte Gesuch um Gewährung der unentgeltlichen Prozessführung ist abzuweisen, da die Begehren - wie sich aus den vorstehenden Erwägungen ergibt - von vornherein aussichtlos waren, weshalb die Voraussetzungen von Art. 65 Abs. 1 VwVG nicht erfüllt sind. Das Gesuch um Befreiung von der Kostenvorschusspflicht wird mit dem vorliegenden Entscheid in der Sache gegenstandslos.</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