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E-178/2017 vom 23. Mai 2017</w:t>
      </w:r>
    </w:p>
    <w:p>
      <w:r>
        <w:t>Bundesverwaltungsgericht, 2017-05-23, FR</w:t>
      </w:r>
    </w:p>
    <w:p>
      <w:r>
        <w:rPr>
          <w:b/>
        </w:rPr>
        <w:t xml:space="preserve">Quelle: </w:t>
      </w:r>
      <w:r>
        <w:t>https://mcp.opencaselaw.ch/entscheid/bvger_E-178_2017</w:t>
      </w:r>
    </w:p>
    <w:p>
      <w:r>
        <w:t>FR: TAF E-178/2017 du 23 mai 2017</w:t>
      </w:r>
    </w:p>
    <w:p>
      <w:r>
        <w:t>IT: TAF E-178/2017 del 23 maggio 2017</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w:t>
      </w:r>
    </w:p>
    <w:p>
      <w:r>
        <w:t>Le recourant n'a pas recouru contre la décision du SEM en tant qu'elle rejette sa demande d'asile, de sorte que, sous cet angle, elle a acquis force de chose décidée.</w:t>
      </w:r>
    </w:p>
    <w:p>
      <w:r>
        <w:rPr>
          <w:b/>
        </w:rPr>
        <w:t>E. 3.1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Si ces conditions ne sont pas réunies, l'admission provisoire doit être prononcée. Celle-ci est réglée par l'art. 83 LEtr (RS 142.20).</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5.2</w:t>
      </w:r>
    </w:p>
    <w:p>
      <w:r>
        <w:t>En ce qui concerne les autres engagements de la Suisse relevant du droit international, il sied d'examiner particulièrement si l'art. 3 CEDH, qui interdit la torture, les peines ou traitements inhumains, trouve application dans le présent cas d'espèces.</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5.4</w:t>
      </w:r>
    </w:p>
    <w:p>
      <w:r>
        <w:t>En l'occurrence, le Tribunal relève ne remet pas en cause, de manière générale, le récit du recourant, dans la mesure où il est exempt de contradictions et d'incohérences notables, et où les imprécisions relevées par le SEM sont de peu d'importance. Cela étant, l'intéressé fait valoir qu'il ne pourrait en pratique être protégé contre les représailles que voudrait exercer contre lui son ancien employeur, D._______, qui apparaît être un riche homme d'affaires, et que celui-ci ne rencontrerait pas d'obstacles pour s'en prendre à lui. Cependant, les dires de l'intéressé ne permettent pas, en soi, d'admettre que ce personnage soit en mesure d'exercer sans difficultés une vengeance contre le recourant. Ce dernier n'a fourni aucune indication claire sur l'influence qu'exercerait son ancien employeur et les liens qu'il entretiendrait avec le personnel politique dirigeant de la zone autonome kurde, ni sur ses antécédents, se limitant à mentionner de manière générale sa relation avec le Premier ministre. En l'état, les informations ainsi fournies ne suffisent pas à établir que D._______ soit en mesure de s'en prendre au recourant, voire d'organiser son meurtre sans que les autorités s'y opposent, ou même avec leur soutien, cela à la suite d'une simple bagarre. Il est d'ailleurs à noter que l'intéressé n'a jamais tenté de porter son cas à la connaissance des autorités ou de demander leur protection contre d'éventuelles menaces ; bien au contraire, il a aussitôt quitté le pays. Il n'est donc pas possible de considérer, avec un degré de probabilité suffisant, que cette protection n'aurait en aucun cas été accordée. Les informations à disposition du Tribunal indiquent d'ailleurs que les autorités de la zone autonome kurde sont en mesure, en principe, d'assurer la sécurité des habitants et leur prodiguer une assistance contre les atteintes de tiers (cf. Danish Refugee Council, The Kurdistan Region of Iraq, Access, Possibility of Protection, Security and Humanitarian Situation, Copenhague avril 2016, pt. 4.1). S'agissant de la convocation émanant du tribunal de Dohuk, qui n'a pas été produite en original, le Tribunal ne peut que constater que son authenticité n'est pas attestée ; il n'est de plus pas logique qu'elle ait été notifiée au lieu de travail du recourant, et non à son domicile. Cependant, même à admettre son authenticité, le document en cause ne démontre en rien l'existence d'un risque pour le recourant, au sens de l'art. 3 CEDH : ayant été impliqué dans une rixe, il est dans l'ordre des choses qu'il fasse l'objet d'une instruction pénale et que la police vienne s'enquérir de lui. En outre, il ne semble pas que depuis septembre 2015, l'intéressé ait été visé par d'autres mesures officielles ou que quiconque s'en soit pris à ses proches.</w:t>
      </w:r>
    </w:p>
    <w:p>
      <w:r>
        <w:rPr>
          <w:b/>
        </w:rPr>
        <w:t>E. 5.5</w:t>
      </w:r>
    </w:p>
    <w:p>
      <w:r>
        <w:t>Dès lors, l'exécution du renvoi du recourant sous forme de refoulement, au vu du récit de l'intéressé, ne paraît transgresser aucun engagement de la Suisse relevant du droit international, de sorte qu'elle s'avère licite (art. 44 LAsi et art.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6.2</w:t>
      </w:r>
    </w:p>
    <w:p>
      <w:r>
        <w:t>Le Tribunal avait déjà distingué la situation régnant dans les trois provinces kurdes du nord, Dohuk, Erbil et Sulaymaniya, de celle du reste de l'Irak, et estimé que l'exécution de renvoi pouvait raisonnablement y être exigée, pour autant que le requérant soit originaire de l'une de ces provinces ou qu'il y ait vécu pendant une longue période et qu'il y dispose d'un réseau social (cf. ATAF 2008/5, consid. 7.5, en particulier consid. 7.5.8). Il a confirmé cette jurisprudence dans un arrêt de référence E-3737/2015 du 14 décembre 2015 (consid. 7.4.2 et 7.4.5), dans lequel il a retenu qu'en dépit des affrontements opposant les combattants de DAECH et les peshmergas en Irak, l'exécution du renvoi demeure en principe exigible pour les hommes jeunes, d'ethnie kurde, en bonne santé, originaires des provinces de Dohuk, d'Erbil, de Sulaymaniya et de la nouvelle province de Halabja ou y ayant vécu durant une longue période et y disposant d'un réseau social (famille, parenté ou amis) ou de liens avec les partis dominants.</w:t>
      </w:r>
    </w:p>
    <w:p>
      <w:r>
        <w:rPr>
          <w:b/>
        </w:rPr>
        <w:t>E. 6.3</w:t>
      </w:r>
    </w:p>
    <w:p>
      <w:r>
        <w:t>En l'espèce, il ne ressort du dossier aucun élément dont on pourrait déduire que l'exécution du renvoi impliquerait une mise en danger concrète du recourant. A cet égard, le Tribunal relève qu'il a toujours vécu à Dohuk, est jeune, au bénéfice d'une bonne formation et d'une riche expérience professionnelle, et n'a pas allégué de problème de santé particulier. En outre, il dispose d'un réseau familial et social à Dohuk (mère, trois frères et une soeur), sur lequel il pourra compter à son retour.</w:t>
      </w:r>
    </w:p>
    <w:p>
      <w:r>
        <w:rPr>
          <w:b/>
        </w:rPr>
        <w:t>E. 6.4</w:t>
      </w:r>
    </w:p>
    <w:p>
      <w:r>
        <w:t>Pour ces motifs, faute d'une mise en danger concrète en cas de retour, au sens de l'art. 83 al. 4 LEtr, l'exécution du renvoi doit être considérée comme raisonnablement exigible.</w:t>
      </w:r>
    </w:p>
    <w:p>
      <w:r>
        <w:rPr>
          <w:b/>
        </w:rPr>
        <w:t>E. 7</w:t>
      </w:r>
    </w:p>
    <w:p>
      <w:r>
        <w:t>Enfin, le recourant est en mesure d'entreprendre toute démarche nécessaire en vue de l'obtention de documents de voyage lui permettant de quitter la Suisse. L'exécution du renvoi ne se heurte donc pas à des obstacles insurmontables d'ordre technique et s'avère également possible (cf. ATAF 2008/34 consid. 12).</w:t>
      </w:r>
    </w:p>
    <w:p>
      <w:r>
        <w:rPr>
          <w:b/>
        </w:rPr>
        <w:t>E. 8</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9</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