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E-1789/2013 vom 30. Mai 2013</w:t>
      </w:r>
    </w:p>
    <w:p>
      <w:r>
        <w:t>Bundesverwaltungsgericht, 2013-05-30, DE</w:t>
      </w:r>
    </w:p>
    <w:p>
      <w:r>
        <w:rPr>
          <w:b/>
        </w:rPr>
        <w:t xml:space="preserve">Quelle: </w:t>
      </w:r>
      <w:r>
        <w:t>https://mcp.opencaselaw.ch/entscheid/bvger_E-1789_2013</w:t>
      </w:r>
    </w:p>
    <w:p>
      <w:r>
        <w:t>FR: TAF E-1789/2013 du 30 mai 2013</w:t>
      </w:r>
    </w:p>
    <w:p>
      <w:r>
        <w:t>IT: TAF E-1789/2013 del 30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w:t>
      </w:r>
    </w:p>
    <w:p>
      <w:r>
        <w:rPr>
          <w:b/>
        </w:rPr>
        <w:t>E. 1.2</w:t>
      </w:r>
    </w:p>
    <w:p>
      <w:r>
        <w:t>Es befindet sich kein Rückschein respektive keine Empfangsbestätigung bei den vorinstanzlichen Akten. Abklärungen des Bundesverwaltungsgerichts beim BFM haben ergeben, dass nicht mehr eruiert werden kann, zu welchem Zeitpunkt die angefochtene BFM-Verfügung dem Beschwerdeführer zugestellt und ihm eröffnet worden ist. Die Beweislast für die erfolgte Zustellung und deren Zeitpunkt trägt die Behörde, welche die Zustellung veranlasst hat (vgl. Felix Uhlmann/Alexandra Schwank, in: Bernhard Waldmann/Philippe Weissenberger [Hrsg.], Praxiskommentar VwVG, Zürich/Basel/Genf 2009, Art. 34, N 10). Angesichts der fehlenden Empfangsbestätigung ist zu Gunsten des Beschwerdeführers davon auszugehen, dass seine am 24. Februar 2013 bei der Botschaft in Khartoum eingegangene Beschwerde frist- und formgerecht eingereicht wurde (vgl. Art. 21 VwVG letzter Teilsatz). Der Beschwerdeführer hat ferner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52 VwVG). Auf die Beschwerde ist mithin einzutreten.</w:t>
      </w:r>
    </w:p>
    <w:p>
      <w:r>
        <w:rPr>
          <w:b/>
        </w:rPr>
        <w:t>E. 1.3</w:t>
      </w:r>
    </w:p>
    <w:p>
      <w:r>
        <w:t>Die Beschwerde ist in englischer Sprache und somit nicht in einer Amtssprache des Bundes abgefasst. Auf die Ansetzung einer Frist zur Beschwerdeverbesserung oder auf die Einholung einer Übersetzung kann indessen aus prozessökonomischen Gründen praxisgemäss verzichtet werden, da der Eingabe des Beschwerdeführers genügend klare, sinngemässe Rechtsbegehren und deren Begründung zu entnehmen sind und ohne Weiteres - die zu beurteilende Sachlage ist rechtsge­nüglich erstellt - darüber befunden werden kann.</w:t>
      </w:r>
    </w:p>
    <w:p>
      <w:r>
        <w:rPr>
          <w:b/>
        </w:rPr>
        <w:t>E. 1.4</w:t>
      </w:r>
    </w:p>
    <w:p>
      <w:r>
        <w:t>Das Verfahren richtet sich nach dem VwVG, soweit das VGG und das AsylG nichts anderes bestimmen (Art. 37 VGG und Art. 6 AsylG).</w:t>
      </w:r>
    </w:p>
    <w:p>
      <w:r>
        <w:rPr>
          <w:b/>
        </w:rPr>
        <w:t>E. 1.5</w:t>
      </w:r>
    </w:p>
    <w:p>
      <w:r>
        <w:t>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festzustellen, dass die angefochtene Verfügung des BFM vom 12. November 2012 sowohl an den Beschwerdeführer als auch an seine Ehefrau und beiden Kindern adressiert ist. Die Ehefrau und die beiden Kinder des Beschwerdeführers werden auch im Anschluss an das Verfügungsdispositiv und die Rechtsmittelbelehrung unter dem Titel "Diese Verfügung bezieht sich auf" erwähnt. Diese Aufführung der betreffenden Namen genügt jedoch den Anforderungen einer rechtswirksamen Verfügung nicht, zumal die gesamte Begründung der Verfügung sich ausschliesslich auf den Beschwerdeführer bezieht (vgl. Pierre Tschannen/Ulrich Zimmerli/Markus Müller, Allgemeines Verwaltungsrecht, 3. Aufl., Bern 2009, § 28 ff., S. 224 ff.).</w:t>
      </w:r>
    </w:p>
    <w:p>
      <w:r>
        <w:rPr>
          <w:b/>
        </w:rPr>
        <w:t>E. 3.2</w:t>
      </w:r>
    </w:p>
    <w:p>
      <w:r>
        <w:t>Ferner ist festzuhalten, dass die angefochtene Verfügung angesichts des im Entscheidzeitpunkts vorliegenden Abklärungsstandes in Bezug auf die Ehefrau und Kinder des Beschwerdeführers ohnehin nicht hätte ergehen dürfen. In seinem unter BVGE 2011/39 publizierten Urteil vom 6. Dezember 2011 hielt das Bundesverwaltungsgericht nämlich fest, dass sich zwar gemäss Art. 11 Abs. 1 VwVG eine Partei, wenn sie nicht persönlich zu handeln hat, auf jeder Stufe des Verfahrens vertreten lassen kann, als Einschränkung sind jedoch Verfahrenshandlungen von der Möglichkeit der Vertretung ausgenommen, die eine persönliche Mitwirkung des oder der Vertretenen erfordern, entweder weil es gesetzlich vorgeschrieben ist (namentlich die Anhörung zu den Asylgründen nach Art. 29 AsylG) oder weil die Verfahrenshandlungen der Natur der Sache nach nur von ihm oder ihr ausgehen können. Gemäss langjähriger asylrechtlicher Praxis gilt die Einreichung eines Asylgesuches als sogenannt "relativ höchstpersönliches Recht" (vgl. Entscheidungen und Mitteilungen der vormaligen Schweizerischen Asylrekurskommission [EMARK] 1996 Nr. 5). Die Initiierung eines Asylverfahrens aus dem Ausland durch die urteilsfähige (mündige oder unmündige) Person setzt prinzipiell einen persönlichen Antrag derselben voraus.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(vgl. zum Ganzen BVGE 2011/39, a.a.O., E. 4.3.2).</w:t>
      </w:r>
    </w:p>
    <w:p>
      <w:r>
        <w:rPr>
          <w:b/>
        </w:rPr>
        <w:t>E. 3.3</w:t>
      </w:r>
    </w:p>
    <w:p>
      <w:r>
        <w:t>Im vorliegenden Fall sind die Ehefrau und Kinder des Beschwerdeführers im ganzen bisherigen Verfahren - und insbesondere im erstinstanzlichen Verfahren - nie in irgendeiner Weise persönlich vor einer schweizerischen Asylbehörde im In- oder Ausland aufgetreten. Mithin kann die angefochtene Verfügung die Ehefrau und die minderjährigen Kinder des Beschwerdeführers nicht einbeziehen. Die Ehefrau des Beschwerdeführers und die Kinder haben demzufolge bis dato kein Asylverfahren in der Schweiz durchlaufen respektive kein Asyl­gesuch in der Schweiz eingereicht. Das vorliegende Beschwerdeurteil betrifft daher einzig den Beschwerdeführer.</w:t>
      </w:r>
    </w:p>
    <w:p>
      <w:r>
        <w:rPr>
          <w:b/>
        </w:rPr>
        <w:t>E. 4</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welches ein Asylgesuch aus dem Ausland nach altem Recht zum Gegenstand hat,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demnach nachfolgend auf das AsylG oder Verordnungstexte verwiesen, bezieht sich dies stets auf die bisherige Fassung der entsprechenden Bestimmungen.</w:t>
      </w:r>
    </w:p>
    <w:p>
      <w:r>
        <w:rPr>
          <w:b/>
        </w:rPr>
        <w:t>E. 5.1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5.2</w:t>
      </w:r>
    </w:p>
    <w:p>
      <w:r>
        <w:t>Vorliegend sah sich die Botschaft in Khartoum nicht in der Lage, eine persönliche Anhörung des Beschwerdeführers durchzuführen. Das BFM begründete diesen Verzicht in der Verfügung vom 12. November 2012 mit dem begrenzten Personalbestand der Botschaft sowie den fehlenden Voraussetzungen im sicherheitstechnischen und räumlichen Bereich. Das Bundesamt ersuchte den Beschwerdeführer mit Schreiben vom 11. Juli 2011 zur Einreichung einer ergänzenden Stellungnahme zwecks Vervollständigung des rechtserheblichen Sachverhaltes. Er nahm in der Folge mit Eingabe vom 11. August 2011 (Eingang bei der Botschaft in Khartum) ausführlich zu den gestellten Fragen Stellung und gab persönliche, auf ihn bezogene Antworten. Vorliegend erhielt der Beschwerdeführer somit rechtsgenügend Gelegenheit, seine Asylgründe darzulegen und bei der Erhebung und Ergänzung des massgebenden Sachverhalts mitzuwirken. Die Schweizerische Botschaft verzichtete darauf, in einem ergänzenden Bericht ihre Beurteilung des Asylgesuchs darzulegen, und überwies die Unterlagen dem BFM ohne Kommentar.</w:t>
      </w:r>
    </w:p>
    <w:p>
      <w:r>
        <w:rPr>
          <w:b/>
        </w:rPr>
        <w:t>E. 6</w:t>
      </w:r>
    </w:p>
    <w:p>
      <w:r>
        <w:t>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dabei die Schutzbedürftigkeit der betroffenen Personen (vgl. EMARK 1997 Nr. 15 E. 2c S. 130; 2004 Nr. 20 E. 3.b), mithin die Prüfung der Fragen, ob eine Gefährdung im Sinne von Art. 3 AsylG glaubhaft gemacht wird und ob der Verbleib am Aufenthaltsort für die Dauer der Sachverhaltsabklärung zugemutet werden kann (vgl. BVGE 2011/10 E. 3.3, mit weiteren Hinweisen). Hält sich eine asylsuchende Person bereits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2.f S. 131 f.). Hält sich die asylsuchende Person in einem Drittstaat auf, ist die Einreise in die Schweiz beispielsweise zu bewilligen, wenn der Drittstaat keine hinreichende Gewähr für ein ordentliches Asylverfahren bietet und eine Abschiebung in den Heimatstaat nicht ausgeschlossen erscheint, auch wenn eine Beziehungsnähe der asylsuchenden Person zur Schweiz fehlt (vgl. EMARK 2005 Nr. 19 E. 4.3 S. 174 f.). Umgekehrt führt der Umstand, dass eine Beziehungsnähe zur Schweiz namentlich aufgrund von hier ansässigen nahen Familienangehörigen gegeben ist, nicht zur Erteilung einer Einreisebewilligung, wenn aufgrund einer Abwägung mit anderen Kriterien der Verbleib im Drittstaat objektiv als zumutbar zu erachten ist.</w:t>
      </w:r>
    </w:p>
    <w:p>
      <w:r>
        <w:rPr>
          <w:b/>
        </w:rPr>
        <w:t>E. 7.1</w:t>
      </w:r>
    </w:p>
    <w:p>
      <w:r>
        <w:t>Vorliegend gelangt das Bundesverwaltungsgericht nach eingehender Prüfung der Akten in Übereinstimmung mit dem BFM zum Schluss, dass die geltend gemachten Vorbringen des Beschwerdeführers nicht a priori unglaubhaft erscheinen und darauf schliessen lassen, dass er in seinem Heimatstaat Eritrea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Art. 52 Abs. 2 AsylG nicht benötigt, weil es ihm - wie im Nachfolgenden aufzuzeigen sein wird - trotz der zugestandenermassen nicht einfachen Bedingungen für eritreische Flüchtlinge im Sudan zuzumuten ist, dort zu verbleiben. Der Beschwerdeführer hält sich eigenen Angaben zufolge seit März 2000 und somit seit mehr als 13 Jahren im Sudan auf. Aufgrund der Angaben in seinem schriftlichen Asylgesuch, seinen ergänzenden Ausführungen vom 11. August 2011 und des - zwar lediglich in qualitativ schlechter Kopie vorliegenden - Flüchtlingsausweises respektive dem Schreiben des UNHCR und des Commissioner for Refugees Khartoum vom (...) 2003 ist davon auszugehen, dass er durch das UNHCR im Sudan als Flüchtling registriert worden ist. Folglich verfügt er über die erforderliche temporäre Bewilligung, um sich im Sudan aufhalten zu können, und geniesst weitgehend Schutz vor einer Abschiebung nach Eritrea. Mit diesem Schutz ist allerdings nicht ein freies Aufenthaltsrecht für das ganze Land verbunden. Es ist jedoch davon auszugehen, dass der Beschwerdeführer im Sudan Schutz gefunden und auch die Möglichkeit hat, sich in das ihm zugewiesene Flüchtlingslager respektive an den ihm zugewiesenen Aufenthaltsort zurückzubegeben, sofern er einen weiteren Verbleib an seinem jetzigen Aufenthaltsort in B._______ (Khartoum) nicht mehr in Betracht zieht. Obschon unlängst von vorkommenden Deportationen von Eritreern in den Heimatstaat berichtet wurde (vgl. Urteil des Bundesverwaltungsgerichts E-1452/2012 vom 15. Juni 2012 mit weiteren Hinweisen, sowie UNHCR, "UNHCR deeply concerned by deportation of Eritreans from Sudan", vom 26. Juli 2011), ist gleichwohl gemäss gesicherten Erkenntnissen das Risiko einer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nämlich das Profil einer Person, an deren Auslieferung die eritreische Regierung besonders interessiert wäre, schliessen liessen. Sodann ist, wenngleich nicht abzusprechen ist, dass die Lebensbedingungen in Khartoum, insbesondere für den Beschwerdeführer angesichts seiner interreligiösen Heirat, schwierig sind, anzunehmen, dass der Beschwerdeführer für sich und seine Familie den Lebensunterhalt weiterhin wird bestreiten können. Den eigenen Angaben zufolge lebt er bereits seit 2000 im Sudan und ist seit 2001 mit seiner muslimischen Ehefrau liiert. Der Beschwerdeführer hat nicht schlüssig dargelegt, weshalb es ihm nicht möglich sein sollte, weiterhin im bisherigen Umfang für sich und seine Familie die Lebensexistenz zu bestreiten. Der geltend gemachte Umstand, er habe aufgrund seiner religiösen Zugehörigkeit Behelligungen erlitten, vermag für sich alleine keine Asylrelevanz zu entfalten. Schliesslich ist festzustellen, dass der Beschwerdeführer über keine in der Schweiz lebenden Angehörigen verfügt. Demnach sind die Voraussetzungen für einen Familiennachzug aufgrund fehlender in der Schweiz lebender Familienangehörigen nicht erfüllt, weshalb Art. 51 AsylG vorlie­gend nicht zur Anwendung kommt.</w:t>
      </w:r>
    </w:p>
    <w:p>
      <w:r>
        <w:rPr>
          <w:b/>
        </w:rPr>
        <w:t>E. 7.2</w:t>
      </w:r>
    </w:p>
    <w:p>
      <w:r>
        <w:t>Aufgrund dieser Erwägungen erscheint es für den Beschwerdefüh­rer objektiv nicht unzumutbar, den im Sudan gegenüber einer allfälligen Verfolgungsgefahr in seinem Heimatstaat bestehenden Schutz weiterhin in Anspruch zu nehmen. Eine Schutzgewährung durch die Schweiz er­scheint somit unter Berücksichtigung aller wesentlichen Umstände, wel­che mit dem Aufenthalt des Beschwerdeführers im Sudan und seinem dortigen Status als vom UNHCR registrierter Flüchtling verbunden sind, nicht erforderlich. Zusammenfassend ergibt sich, dass das BFM zu Recht und mit weitgehend zutreffender Begründung feststellte, eine Abwägung der Gesamtumstände im Sinne von Art. 52 Abs. 2 AsylG führe zum Schluss, dass dem Beschwerdeführer ein Verbleib im Sudan zuzumuten ist. Unter diesen Umständen hat das Bundesamt zu Recht die Erteilung der Einreisebewilligung verweigert und das Asylgesuch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