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E-1785/2015 vom 20. April 2015</w:t>
      </w:r>
    </w:p>
    <w:p>
      <w:r>
        <w:t>Bundesverwaltungsgericht, 2015-04-20, DE</w:t>
      </w:r>
    </w:p>
    <w:p>
      <w:r>
        <w:rPr>
          <w:b/>
        </w:rPr>
        <w:t xml:space="preserve">Quelle: </w:t>
      </w:r>
      <w:r>
        <w:t>https://mcp.opencaselaw.ch/entscheid/bvger_E-1785_2015</w:t>
      </w:r>
    </w:p>
    <w:p>
      <w:r>
        <w:t>FR: TAF E-1785/2015 du 20 avril 2015</w:t>
      </w:r>
    </w:p>
    <w:p>
      <w:r>
        <w:t>IT: TAF E-1785/2015 del 20 aprile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die Aussagen des Beschwerdeführers würden gravierende Widersprüche aufweisen. So könne er sein LTTE-Engagement nicht zeitlich konsistent schildern und seine Antworten bezüglich der Befragungen durch die SLA (Sri Lankan Army) seien nicht stimmig. Er könne Widersprüche nicht mit nachvollziehbaren Erklärungen entkräften, was den Verdacht erwecke, es handle sich bei den Vorbringen des Beschwerdeführers um einen konstruierten Sachverhalt. Ebenfalls widerspreche er sich bezüglich allfälliger Teilnahmen an Mai-Veranstaltungen und könne nicht nachvollziehbar darlegen, weshalb die SLA ihn überhaupt verdächtige. Zudem erscheine unglaubhaft, dass die SLA Anfang 2014 nur zwei Mal nach ihm gesucht habe und die Suche nach ihm sodann aufgegeben habe. Ebenfalls sei die unbehelligte Ausreise des Beschwerdeführers ein Indiz dafür, dass die sri-lankischen Behörden keinerlei Interesse an der Person des Beschwerdeführers hätten. Infolge zahlreicher Widersprüche sowie der fehlenden Handlungslogik und der Unsubstantiiertheit der Aussagen erachte man diese als unglaubhaft. Schliesslich führt die Vorinstanz für den Fall einer Rückkehr aus, dass konkrete Anhaltspunkte für die Annahme einer Gefährdung fehlten. Der Beschwerdeführer habe daher keine begründete Furcht, zukünftig staatlichen Verfolgungsmassnahmen ausgesetzt zu sein.</w:t>
      </w:r>
    </w:p>
    <w:p>
      <w:r>
        <w:rPr>
          <w:b/>
        </w:rPr>
        <w:t>E. 4.2</w:t>
      </w:r>
    </w:p>
    <w:p>
      <w:r>
        <w:t>Der Beschwerdeführer wendet dagegen ein, das SEM hege zu Unrecht Zweifel an der Glaubhaftigkeit der geltend gemachten Verfolgung. Es habe bei der Anhörung Probleme mit dem Übersetzer gegeben, weswegen man seine Aussagen nicht auf die Goldwaage legen solle. Es sei durchaus möglich, dass bei einer späteren Festnahme eines LTTE-Manns ausgekommen sei, dass er LTTE-Kämpfer bei sich versteckt habe, weshalb die Verfolgung erst 2014 eingesetzt habe. Dass er problemlos ausreisen konnte, schliesse eine Verfolgung nicht aus. Nur wenn er per Haftbefehl als Terrorist gesucht worden wäre, hätte er einer Festnahme bei der Ausreise nicht entgehen können. Bei einer mittleren Verdächtigung sei eine Ausreise allenfalls noch möglich. Einer dieser fünf Leute, die er beherbergt habe, heisse C._______ und sei am (...) verhaftet worden und sei seither verschwunden. Er vermute, dass seine Verfolgung mit dieser Person zusammenhänge und er brauche deshalb 30 Tage Zeit, um von einem bekannten Anwalt, der mit diesem Fall vertraut sei, Dokumente anzufordern.</w:t>
      </w:r>
    </w:p>
    <w:p>
      <w:r>
        <w:rPr>
          <w:b/>
        </w:rPr>
        <w:t>E. 4.3</w:t>
      </w:r>
    </w:p>
    <w:p>
      <w:r>
        <w:t>Die Beweiswürdigung der Vorinstanz ist nicht zu beanstanden. Sie hat den Massstab des Glaubhaftmachens nicht verkannt und ihn auf den vorliegenden Fall korrekt angewendet. In der angefochtenen Verfügung wird einlässlich begründet, welche Vorbringen im Einzelnen widersprüchlich und unglaubhaft ausgefallen sind. Der Einwand des Beschwerdeführers, es habe in der Anhörung Kommunikationsprobleme mit dem Dolmetscher gegeben, kann die gravierenden Widersprüche in seinen Vorbringen nicht erklären. Der Beschwerdeführer gab in der Anhörung zu den Asylgründen zu Protokoll, dass er den Dolmetscher verstehe. Er bestätigte ausserdem unterschriftlich die Vollständigkeit und Richtigkeit seiner Aussagen nach der Rückübersetzung Satz für Satz (SEM-Akten, A17/20 S. 19). Der Beschwerdeführer widerspricht sich sodann in den zentralen Aussagen zu seinen Asylgründen. So sagte er in der Befragung zur Person, er habe an 1. Mai-Veranstaltungen teilgenommen (SEM-Akten, A 4/13 S. 8), führte in der Bundesanhörung dann aus, er habe nie an Maiveranstaltungen teilgenommen (SEM-Akten, A17/20 F58). Auf diesen Widerspruch angesprochen meinte der Beschwerdeführer nur, er könne sich nicht mehr erinnern (SEM-Akten, A17/20 F196 f.). Weiter führte er aus, im Jahr 2006 sei die Armee zu ihm nach Hause gekommen und habe ihn befragt (SEM-Akten, A4/13 S. 8). Später sagte er jedoch, er sei von den Soldaten nicht verhört worden, diese hätten nur mit seiner Frau gesprochen (SEM-Akten, A17/20 F104 ff.). Er erklärt dies damit, dass er bereits in der Befragung zur Person ausgesagt habe, dass nur seine Frau verhört worden sei (SEM-Akten, A17/20 F199), was dem Protokoll der Befragung jedoch nicht zu entnehmen ist. Darin steht lediglich: "Einmal kam die Armee im Jahr 2006. Ich wurde von der Armee damals befragt." (SEM-Akten, A4/13 S. 8). Weiter widerspricht sich der Beschwerdeführer bezüglich des Monats der beiden Besuche der Armee im Jahr 2014. So gibt er einerseits zu Protokoll, dies sei innert zwei bis drei Tagen im Januar 2014 geschehen (SEM-Akten, A4/13 S. 8 f.), andererseits sei dies im Januar sowie im Februar passiert (SEM-Akten, A17/20 F83). Obwohl diese Ereignisse noch nicht lange zurückliegen, kann der Beschwerdeführer diesen Widerspruch nicht erklären (SEM-Akten, A17/20 F206 f.). Im Verbund mit den zahlreichen Ungereimtheiten spricht auch die Tatsache, dass der Beschwerdeführer mit seinem Reisepass legal aus Sri Lanka ausgereist ist, der grosse zeitliche Abstand (Jahr 2006 und Jahr 2014) zwischen den Besuchen der Armee, sowie dass seine Frau und die Tochter weiterhin unbehelligt am selben Ort in Sri Lanka leben und arbeiten, gegen eine Verfolgung. Um Wiederholungen zu vermeiden, kann auf die vorinstanzlichen Erwägungen verwiesen werden.</w:t>
      </w:r>
    </w:p>
    <w:p>
      <w:r>
        <w:rPr>
          <w:b/>
        </w:rPr>
        <w:t>E. 4.4</w:t>
      </w:r>
    </w:p>
    <w:p>
      <w:r>
        <w:t>An diesem Beweisergebnis vermag das eingereichte Beweismittel, ein Suchantrag betreffend C._______, nichts zu ändern. Der Beschwerdeführer beantragt zudem eine Frist für das Nachreichen von weiteren Beweismitteln aus der Heimat. Er stehe in Kontakt mit einem Anwalt, der im Zusammenhang mit dem Verschwinden einer Person, die er beherbergt habe, weitere Dokumente, die seine Verfolgung beweisen könnten, liefern könne. In Anbetracht des feststehenden Beweisergebnisses ist von der Abnahme dieser Dokumente in antizipierter Beweiswürdigung abzusehen. Abgesehen davon hatte der Beschwerdeführer, der sich seit beinahe einem Jahr in der Schweiz aufhält, dafür genügend Zeit. Der Beweisantrag ist abzuweisen.</w:t>
      </w:r>
    </w:p>
    <w:p>
      <w:r>
        <w:rPr>
          <w:b/>
        </w:rPr>
        <w:t>E. 4.5</w:t>
      </w:r>
    </w:p>
    <w:p>
      <w:r>
        <w:t>Die Vorinstanz erwägt in rechtlicher Hinsicht, dass der Beschwerdeführer bei der Rückkehr - trotz Zugehörigkeit zur tamilischen Ethnie, Landesabwesenheit und Herkunft - keine begründete Furcht habe, staatlichen Verfolgungsmassnahmen ausgesetzt zu sein. Deshalb habe der Beschwerdeführer keine Massnahmen zu befürchten, die über einen sogenannten background check (Befragung und Überprüfung von Tätigkeiten im In- und Ausland) hinausgingen. Der Beschwerdeführer begnügt sich damit, auf vergangenen Menschrechtsverletzungen im Allgemeinen zu verweisen. Er zeigt jedoch nicht auf, inwiefern ihm persönlich im Falle einer Rückkehr ein ernsthafter Nachteil im Sinne von Art. 3 AsylG drohen könnte. Solches lässt sich auch nicht annehmen, nachdem seine Vorbringen insgesamt unglaubhaft ausgefallen sind. Er hat somit nichts vorgebracht, was geeignet wäre, die Flüchtlingseigenschaft nachzuweisen oder zumindest glaubhaft zu machen. Die Vorinstanz hat sein Asylgesuch zu Recht abgelehnt.</w:t>
      </w:r>
    </w:p>
    <w:p>
      <w:r>
        <w:rPr>
          <w:b/>
        </w:rPr>
        <w:t>E. 5</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das Staatssekretariat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Es ergeben sich aus den Akten keine konkreten Anhaltspunkte dafür, dass der Beschwerdeführer für den Fall einer Ausschaffung nach Sri Lanka dort mit beachtlicher Wahrscheinlichkeit einer nach Art. 3 EMRK oder FoK verbotenen Strafe oder Behandlung ausgesetzt wäre. Der Vollzug der Wegweisung ist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dem Distrikt Jaffna (zur Problematik Vanni-Gebiet und Zumutbarkeit der Wegweisung: BVGE 2011/24 E. 12-13). Er kann sich dort oder beispielsweise in Colombo niederlassen. Im Übrigen handelt es sich in der Person des Beschwerdeführers um einen Mann in bestem Arbeitsalter, dessen Ehefrau in Sri Lanka einen Landwirtschaftsbetrieb führt, einem Beziehungsnetz in Sri Lanka und einer Familie vor Ort (Ehefrau und Tochter, Mutter, drei Brüder). Der Vollzug der Wegweisung erweist sich als zumutbar.</w:t>
      </w:r>
    </w:p>
    <w:p>
      <w:r>
        <w:rPr>
          <w:b/>
        </w:rPr>
        <w:t>E. 6.4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6.5</w:t>
      </w:r>
    </w:p>
    <w:p>
      <w:r>
        <w:t>Zusammenfassend hat die Vorinstanz den Vollzug der Wegweisung zutreffend als zulässig, zumutbar und möglich bezeichnet, womit die Anordnung einer vorläufigen Aufnahme ausser Betracht fällt (Art. 83 Abs. 1 AuG).</w:t>
      </w:r>
    </w:p>
    <w:p>
      <w:r>
        <w:rPr>
          <w:b/>
        </w:rPr>
        <w:t>E. 7</w:t>
      </w:r>
    </w:p>
    <w:p>
      <w:r>
        <w:t>Aus diesen Erwägungen ergibt sich, dass die angefochtene Verfügung Bundesrecht nicht verletzt und auch sonst nicht zu beanstanden ist (Art. 106 AsylG; Art. 49 VwVG).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 gleichen Grund kann auch dem Gesuch um unentgeltliche Rechtsverbeiständung im Sinne von Art. 65 Abs. 2 VwVG nicht stattgegeben werden.</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Beschwerdeurteil ist der Antrag auf Verzicht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