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E-1782/2013 vom 23. April 2013</w:t>
      </w:r>
    </w:p>
    <w:p>
      <w:r>
        <w:t>Bundesverwaltungsgericht, 2013-04-23, FR</w:t>
      </w:r>
    </w:p>
    <w:p>
      <w:r>
        <w:rPr>
          <w:b/>
        </w:rPr>
        <w:t xml:space="preserve">Quelle: </w:t>
      </w:r>
      <w:r>
        <w:t>https://mcp.opencaselaw.ch/entscheid/bvger_E-1782_2013</w:t>
      </w:r>
    </w:p>
    <w:p>
      <w:r>
        <w:t>FR: TAF E-1782/2013 du 23 avril 2013</w:t>
      </w:r>
    </w:p>
    <w:p>
      <w:r>
        <w:t>IT: TAF E-1782/2013 del 23 aprile 2013</w:t>
      </w:r>
    </w:p>
    <w:p>
      <w:pPr>
        <w:pStyle w:val="Heading2"/>
      </w:pPr>
      <w:r>
        <w:t>Regeste</w:t>
      </w:r>
    </w:p>
    <w:p>
      <w:r>
        <w:t>Renvoi et exécution du renvoi (recours réexamen)</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Il en va de même du recourant. En effet, même si, comme allégué en cours de procédure ordinaire, il était dépourvu de l'exercice des droits civils dans le cadre de la procédure d'asile et, par conséquent, de son pendant procédural, la capacité d'ester en justice, il serait valablement représenté par sa mère, laquelle aurait déposé une demande de réexamen et recouru également en sa faveur, la demande de réexamen ayant été formée par un seul et même acte et les recours l'ayant été par deux mémoires distincts certes, mais par le même mandataire et à la même date (cf. arrêt du Tribunal E-1904/2008 et E-1906/2008 du 13 octobre 2011 consid. 2.1 et 2.2 mutatis mutandis). Présenté dans la forme (cf. art. 52 PA) et dans le délai (cf. art. 108 al. 1 LAsi) prescrits par la loi, les recours sont ainsi recevables.</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et réf. cit.). Il convient de préciser que la portée de la demande de reconsidération qualifiée pour le motif de révision prévu à l'art. 66 al. 2 let. a PA est plus large que celle de la demande de révision pouvant être retenue sur la base de l'art. 123 al. 2 let. a LTF.</w:t>
      </w:r>
    </w:p>
    <w:p>
      <w:r>
        <w:rPr>
          <w:b/>
        </w:rPr>
        <w:t>E. 2.2</w:t>
      </w:r>
    </w:p>
    <w:p>
      <w:r>
        <w:t>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 JICRA 2000 n° 5).</w:t>
      </w:r>
    </w:p>
    <w:p>
      <w:r>
        <w:rPr>
          <w:b/>
        </w:rPr>
        <w:t>E. 3.1</w:t>
      </w:r>
    </w:p>
    <w:p>
      <w:r>
        <w:t>En l'occurrence, les recourants ont requis l'adaptation des décisions de l'ODM des 11 et 21 février 2008 ; ils ont allégué que la détérioration de l'état de santé du recourant depuis celles-ci et plus particulièrement depuis octobre 2011 rendait désormais l'exécution de leur renvoi inexigible au sens de l'art. 83 al. 4 de la loi fédérale du 16 décembre 2005 sur les étrangers (LEtr, RS 142.20).</w:t>
      </w:r>
    </w:p>
    <w:p>
      <w:r>
        <w:rPr>
          <w:b/>
        </w:rPr>
        <w:t>E. 3.2</w:t>
      </w:r>
    </w:p>
    <w:p>
      <w:r>
        <w:t>Les recourants ont déposé leur demande de réexamen moins de quatre mois après le prononcé par le Tribunal de son arrêt E-1904/2008 et E-1906/2008 du 13 octobre 2011. Leur demande est consécutive à la réception du courrier du 29 décembre 2011, par lequel l'ODM leur a fixé un nouveau délai de départ au 30 janvier 2012 (cf. la motivation de la demande "d'effet suspensif" en p. 4 de la demande de réexamen). Dans l'arrêt précité du 13 octobre 2011 auquel il est renvoyé, le Tribunal a retenu que le recourant pouvait prétendre en Arménie à un traitement essentiel de ses graves troubles psychotiques, éventuellement d'allure schizophrénique, accompagnant son retard mental et que, pour empêcher une éventuelle rupture du traitement psychiatrique et prévenir les risques sérieux de suicide et d'hétéro-agressivité durant le voyage et à l'arrivée sur sol arménien, il appartenait aux autorités chargées de l'exécution du renvoi de prévoir un accompagnement pour tout le voyage de retour et de s'assurer que les autorités arméniennes prennent en charge le recourant de manière adéquate dès sa descente d'avion en Arménie en milieu psychiatrique. Les recourants n'ont aucunement tenu compte des considérants de cet arrêt dans la motivation de leur demande de réexamen. Ils se sont prévalus d'une dégradation de l'état de santé du recourant depuis les décisions de l'ODM ordonnant l'exécution de leur renvoi en février 2008 et "plus particulièrement depuis le mois d'octobre 2011", décisions selon eux dictées "par le fait que l'état de santé du recourant était relativement stable et qu'il pouvait faire l'objet d'un traitement en Arménie". Ils n'ont de la sorte pas exposé en quoi, depuis le prononcé de l'arrêt sur recours du 13 octobre 2011, s'était créée une situation nouvelle dans les faits constitutive d'une modification notable des circonstances. Certes, dans leur recours, ils ont allégué que le recourant a développé un syndrome de stress post-traumatique "suite à une hospitalisation ayant eu lieu dans la fin de l'année 2011 soit après la décision dont le réexamen est demandé". Compte tenu du fait que l'ODM a examiné leur demande au fond et rejeté celle-ci, estimant qu'elle ne reposait pas sur des faits nouveaux, et compte tenu également de l'issue du recours, le Tribunal peut laisser indécise la question de savoir si la demande d'adaptation était ou non suffisamment motivée et si l'ODM était tenu d'entrer en matière sur celle-ci.</w:t>
      </w:r>
    </w:p>
    <w:p>
      <w:r>
        <w:rPr>
          <w:b/>
        </w:rPr>
        <w:t>E. 3.3</w:t>
      </w:r>
    </w:p>
    <w:p>
      <w:r>
        <w:t>D'après les certificats médicaux des 27 janvier 2012 et 4 février 2013, le recourant a dû être hospitalisé à huit reprises depuis octobre 2011 consécutivement à des péjorations de son état psychique, péjorations décrites comme réactionnelles pour cinq d'entre elles à la cessation d'activités occupationnelles au sein de l'établissement d'accueil des migrants en octobre 2011, puis en septembre 2012, et pour trois d'entre elles à la prise de connaissance en novembre 2011 de l'entrée en force de chose jugée de la décision de renvoi. En outre, un état de stress post-traumatique (F43.1) lié, d'après le médecin, surtout aux événements traumatiques vécus par le recourant à l'armée (soit, d'après les déclarations de celui-ci en procédure ordinaire, dans le cadre de son service militaire en 1998) s'ajoute aux diagnostics préexistants de retard mental moyen (F71) et de psychose non organique sans précision (F29). Il n'y a lieu de voir ni dans ces rechutes ayant débouché sur des hospitalisations ni dans le diagnostic nouvellement posé d'état de stress post-traumatique (suite à la réactivation d'une symptomatologie préexistante à la venue en Suisse) une modification notable des circonstances depuis l'arrêt du 13 octobre 2011. En effet, au vu des certificats médicaux précités, tant le traitement entrepris que le traitement préconisé demeurent inchangés depuis cet arrêt. De plus, dans cet arrêt, le Tribunal a jugé que le recourant pouvait prétendre à un traitement essentiel de ses troubles psychiatriques en Arménie, même si le risque d'une dégradation de son état de santé était augmenté par son renvoi sous la contrainte et par les changements qui pourraient survenir dans le soutien personnel et l'accès au traitement, et que le risque d'une rechute existait même s'il restait en Suisse, sa maladie étant de longue durée et exigeant un suivi constant. Le fait que le recourant ait dû être hospitalisé à huit reprises depuis octobre 2011 et qu'il se soit vu diagnostiquer un état de stress post-traumatique depuis lors ne modifie en rien ce jugement. Par ailleurs, dans cet arrêt du 13 octobre 2011, le risque d'hétéro- et/ou d'auto-agressivité du recourant a été considéré comme élevé et à prendre très au sérieux, ce que l'importante idéation suicidaire accompagnant la réactivation de la symptomatologie de l'état de stress post-traumatique ne fait que confirmer. Enfin, il est vain aux recourants d'alléguer que le médecin du recourant n'a pas connaissance de l'existence en Arménie de structure socio-éducative spécialisée adaptée au handicap mental et de psychiatrie spécialisée dans ce domaine. En effet, le Tribunal a retenu dans son arrêt du 13 octobre 2011, comme non décisive l'absence vraisemblable de prétention du recourant à une prise en charge spécialisée en Arménie, sur les plans psychologique et socio-éducatif, aussi intensive que celle dont il a pu bénéficier en Suisse. Il convient d'ailleurs de relever que jusqu'à présent les recourants n'ont pas trouvé en Suisse une institution disposant des ressources suffisantes pour assumer durablement (voire à vie) une prise en charge socio-éducative adaptée, "presque individuelle", avec des activités occupationnelles protégées, ressources dont l'institution de G._______ - laquelle s'est occupée du recourant en 2010 - ne disposait pas (cf. certificat du 27 janvier 2012). A cet égard, il est rappelé que l'art. 83 al. 4 LEtr ne permet d'admettre provisoirement un étranger en Suisse pour cause de maladie qu'en l'absence d'accès dans le pays d'origine à des "soins essentiels" au sens restrictif donné à cette notion par la jurisprudence (cf. arrêt du 13 octobre 2011 consid. 7.3 et 7.3.1) ; des soins spécialisés complexes, en particulier ceux ressortissant à la médecine de pointe ou correspondant à des standards suisses élevés et non accessibles dans d'autres pays, n'entrent en principe pas dans cette notion. En définitive, les faits nouveaux à l'origine de la demande de reconsidération s'inscrivent dans l'argumentation déjà développée par le Tribunal dans son arrêt du 13 octobre 2011 et ne sont pas constitutifs d'une modification notable des circonstances depuis cet arrêt.</w:t>
      </w:r>
    </w:p>
    <w:p>
      <w:r>
        <w:rPr>
          <w:b/>
        </w:rPr>
        <w:t>E. 3.4</w:t>
      </w:r>
    </w:p>
    <w:p>
      <w:r>
        <w:t>Il s'ensuit que le recours doit être rejeté et la décision attaquée confirmée.S'avérant manifestement infondé, le recours doit être rejeté dans une procédure à juge unique, avec l'approbation d'un second juge (cf. art. 111 let. e LAsi). Il est dès lors renoncé à un échange d'écritures, le présent arrêt n'étant motivé que sommairement (cf. art. 111a al. 1 et al. 2 LAsi).</w:t>
      </w:r>
    </w:p>
    <w:p>
      <w:r>
        <w:rPr>
          <w:b/>
        </w:rPr>
        <w:t>E. 4</w:t>
      </w:r>
    </w:p>
    <w:p>
      <w:r>
        <w:t>Au vu de l'issue de la cause, il y a lieu de mettre les frais de procédure, d'un montant de 1'200 francs, à la charge des recourants,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