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E-1778/2009 vom 4. April 2012</w:t>
      </w:r>
    </w:p>
    <w:p>
      <w:r>
        <w:t>Bundesverwaltungsgericht, 2012-04-04, DE</w:t>
      </w:r>
    </w:p>
    <w:p>
      <w:r>
        <w:rPr>
          <w:b/>
        </w:rPr>
        <w:t xml:space="preserve">Quelle: </w:t>
      </w:r>
      <w:r>
        <w:t>https://mcp.opencaselaw.ch/entscheid/bvger_E-1778_2009</w:t>
      </w:r>
    </w:p>
    <w:p>
      <w:r>
        <w:t>FR: TAF E-1778/2009 du 4 avril 2012</w:t>
      </w:r>
    </w:p>
    <w:p>
      <w:r>
        <w:t>IT: TAF E-1778/2009 del 4 aprile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Das BFM lehnt das Asylgesuch ab, da die Vorbringen des Beschwerdeführers weder den Anforderungen an das Glaubhaftmachen gemäss Art. 7 AsylG noch denjenigen an die Flüchtlingseigenschaft gemäss Art. 3 AsylG standhalten würden. Zu Art. 7 AsylG führt die Vorinstanz aus, die Angaben des Beschwerdeführers zu den Reisen in den Kosovo und zurück in die Schweiz würden den allgemeinen Erfahrungen widersprechen und seien als realitätsfremd, wenig konkret, detailarm und unsubstantiiert zu bewerten. Namentlich sei unlogisch, dass er es vorgezogen habe, anstelle des gebuchten Fluges die beschwerliche Reise mit dem Auto, welche er zudem selbst habe finanzieren müssen, zu wählen. Ebenfalls unlogisch sei, dass die Unbekannten zuerst mit der Begründung, der Beschwerdeführer sei in der Schweiz gewesen, Geld von ihm verlangt und ihm anschliessend vorgeworfen hätten, in Serbien gewesen und dort Albaner getötet zu haben. Auch würden den Aussagen des Beschwerdeführers die erforderlichen Realkennzeichen fehlen, insbesondere beschränke er sich auf die Wiedergabe von Handlungsabläufen ohne dabei inhaltliche Besonderheiten zu schildern. Schliesslich habe sich der Beschwerdeführer im zweiten Asylverfahren gegenüber dem ersten Verfahren anders zum Aufenthalt seiner Familie geäussert. Zur Flüchtlingseigenschaft stellte die Vorinstanz fest, zwischen der erneut geltend gemachten Verhaftung durch die UCK-Soldaten nach dem Krieg und der Ausreise im Jahre 2008 sei der erforderliche zeitliche und sachliche Kausalzusammenhang nicht mehr gegeben.</w:t>
      </w:r>
    </w:p>
    <w:p>
      <w:r>
        <w:rPr>
          <w:b/>
        </w:rPr>
        <w:t>E. 4.2</w:t>
      </w:r>
    </w:p>
    <w:p>
      <w:r>
        <w:t>In der Rechtsmitteleingabe macht der Beschwerdeführer geltend, die Vorinstanz habe den Massstab des Glaubhaftmachens nicht korrekt angewendet. Er kenne die Regeln des Reisens nicht, weshalb er davon ausgegangen sei, dass das Flugticket nichts koste. Allein damit legt der Beschwerdeführer nicht überzeugend dar, weshalb er sich gegen den Heimflug entschieden hat. Zudem hat die Vorinstanz zu Recht festgestellt, die Angaben zur Rückreise seien sehr vage, unsubstantiiert und ohne persönliche Indizien. Letzteres gilt ganz besonders für die Schilderungen des Wiedersehens des Beschwerdeführers mit seiner Familie nach seiner über zweijährigen Abwesenheit von zu Hause. Weitergehend nimmt er in der Beschwerde zu den von der Vorinstanz im Einzelnen aufgezeigten Unstimmigkeitsmerkmalen nicht Stellung. Vielmehr beschränkt er sich darauf, seine Aussagen anlässlich der Anhörungen wörtlich zu wiederholen und an ihrer Tatsächlichkeit festzuhalten. Damit legt er aber nicht substantiiert dar, inwiefern die Vorinstanz zu Unrecht auf Unglaubhaftigkeit geschlossen hat. Ebenso wenig sind die allgemeinen Ausführungen zur Situation der Roma im Kosovo und die diesbezüglich eingereichten Berichte geeignet, die von der Vorinstanz aufgezeigten Unstimmigkeiten zu entkräften. Schliesslich äussert sich der Beschwerdeführer zu Recht nicht zur vorinstanzlichen Feststellung, wonach der erforderliche Kausalzusammenhang zwischen den Vorkommnissen nach dem Krieg und der Ausreise nicht gegeben sei. Der Beschwerdeführer hat somit nichts vorgebracht, das geeignet wäre, die Flüchtlingseigenschaft nachzuweisen oder glaubhaft zu machen. Die Vorinstanz hat demnach das Asylgesuch zu Recht abgelehnt.</w:t>
      </w:r>
    </w:p>
    <w:p>
      <w:r>
        <w:rPr>
          <w:b/>
        </w:rPr>
        <w:t>E. 5.1</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verfügt.</w:t>
      </w:r>
    </w:p>
    <w:p>
      <w:r>
        <w:rPr>
          <w:b/>
        </w:rPr>
        <w:t>E. 5.2</w:t>
      </w:r>
    </w:p>
    <w:p>
      <w:r>
        <w:t>Nach Art. 44 Abs. 1 in fine AsylG hat das BFM bei der Anordnung des Vollzugs der Wegweisung den Grundsatz der Einheit der Familie zu beachten. Gemäss konstanter Rechtsprechung geht diese Bestimmung über die Tragweite von Art. 8 der Konvention vom 4. November 1950 zum Schutze der Menschenrechte und Grundfreiheiten (EMRK, SR 0.101) hinaus, indem die vorläufige Aufnahme des einen Familienmitglieds "in der Regel" auch zur vorläufigen Aufnahme der anderen Familienmitglieder führt. In personeller Hinsicht umfasst der Begriff der Familie dabei den Ehepartner und die minderjährigen Kinder, wobei der in dauerhaft eheähnlicher Gemeinschaft lebende Partner dem Ehepartner gleichzustellen ist. Dieser Anspruch gilt indes nur solange, als das Verfahren des Ehegatten beziehungsweise Konkubinatspartners nicht abgeschlossen ist beziehungsweise dieser über ein mit dem Asylverfahren im Zusammenhang stehendes Anwesenheitsrecht verfügt (vgl. Urteil des Bundesverwaltungsgerichts E-3549/2007 vom 4. November 2011).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des Bundesgesetzes vom 16. Dezember 2005 über die Ausländerinnen und Ausländer (AuG, SR 142.20)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6.3</w:t>
      </w:r>
    </w:p>
    <w:p>
      <w:r>
        <w:t>Die Vorinstanz stellt in der angefochtenen Verfügung fest, in C._______ (Gemeinde I._______) sei eine konkrete Gefährdung des Beschwerdeführers aufgrund seiner ethnischen Zugehörigkeit nicht ausgeschlossen. Eine Rückkehr dorthin sei daher unzumutbar. Indessen bestehe eine innerstaatliche Aufenthaltsalternative in Gemeinden, in welchen die Sicherheitslage unproblematisch sei, so beispielsweise in der Gemeinde Gjakove, wo ein Onkel im Dorf D._______ lebe.</w:t>
      </w:r>
    </w:p>
    <w:p>
      <w:r>
        <w:rPr>
          <w:b/>
        </w:rPr>
        <w:t>E. 6.4</w:t>
      </w:r>
    </w:p>
    <w:p>
      <w:r>
        <w:t>Auf Beschwerdeebene wird zur Zumutbarkeit des Vollzugs der Wegweisung erstmals ausgeführt, im Februar 2008 habe der Beschwerdeführer die ebenfalls aus dem Kosovo stammende Asylgesuchstellerin, J._______ (N ...), kennengelernt. Die beiden hätten sich ineinander verliebt. Im Juli 2010 seien sie in eine gemeinsame Wohnung gezogen und am 18. Dezember 2010 sei der gemeinsamer Sohn K._______ zur Welt gekommen. J._______ sei zur Zeit noch mit dem Landsmann L._______ verheiratet, weshalb dieser zunächst als Vater des Kindes gegolten habe. Mit Urteil des G._______ vom 1. Dezember 2011 sei indes festgestellt worden, dass L._______ nicht der Vater von K._______ sei. In der Folge habe der Beschwerdeführer beim Zivilstandsamt H._______ das Verfahren zur Anerkennung von K._______ als sein Kind eingeleitet. Dieses Verfahren sei gegenwärtig noch hängig. Demnächst werde J._______ die Scheidungsklage einreichen. Weiter wird vorgebracht, J._______ gehöre der Ethnie der Ashkali an. Sie habe praktisch ihr ganzes Leben ausserhalb des Kosovo verbracht. Zur Zeit sei ein Revisionsgesuch von J._______ beim Bundesverwaltungsgericht hängig. Eine Rückkehr der jungen Familie in den Kosovo sei nicht zumutbar. Die Familie habe dort kein tragfähiges Beziehungsnetz. Namentlich sei der Vater des Beschwerdeführers über die Beziehung seines Sohnes zu einer verheirateten Frau empört und habe diesem, für den Fall einer Rückkehr, mit Mord gedroht, da er die Ehre der Familie beschmutzt habe.</w:t>
      </w:r>
    </w:p>
    <w:p>
      <w:r>
        <w:rPr>
          <w:b/>
        </w:rPr>
        <w:t>E. 6.5.1</w:t>
      </w:r>
    </w:p>
    <w:p>
      <w:r>
        <w:t>Aufgrund der Akten ergibt sich betreffend die Partnerin des Beschwerdeführers Folgendes: J._______ reichte im Jahre 2006 ein Asylgesuch in der Schweiz ein. Dieses wies das Bundesverwaltungsgericht mit Urteil vom 26. Oktober 2011 rechtskräftig ab. In der Folge wies das Gericht das gegen diesen Entscheid eingereichte Revisionsgesuch mit Urteil vom 23. Januar 2012 ab. Es steht somit rechtskräftig fest, dass die Partnerin des Beschwerdeführers und der gemeinsame Sohn die Schweiz zu verlassen haben. Allerdings hat das Bundesverwaltungsgericht in seinem Urteil vom 23. Januar 2012 die Vorinstanz darauf hingewiesen, dass sie aufgrund der neu geltend gemachten Umstände bei einem Vollzug der Wegweisung den Grundsatz der Einheit der Familie zu beachten habe. Weiter ergibt sich aufgrund der Akten, dass sich der Beschwerdeführer und J._______ seit Februar 2008 kennen, seit Juli 2010 zusammenleben und seit Dezember 2010 Eltern eines gemeinsamen Kindes sind. Der E._______ bewertet in seiner Stellungnahme vom 4. Januar 2012 die Beziehung zwischen dem Beschwerdeführer und J._______ als stabil. Weiter führt es aus, beide Elternteile würden sich sehr fürsorglich und liebevoll um ihr Kind kümmern. Vor diesem Hintergrund geht das Bundesverwaltungsgericht für die Beurteilung der vorliegenden Beschwerde davon aus, dass zwischen dem Beschwerdeführer und J._______, auch wenn sie noch nicht ganze zwei Jahre zusammenleben, eine eheähnliche Partnerbeziehung besteht (vgl. dazu BGE 118 II 235). Dementsprechend geht das Gericht davon aus, dass der Beschwerdeführer zusammen mit seiner Partnerin und dem gemeinsamen Kind in den Kosovo zurückkehren würde.</w:t>
      </w:r>
    </w:p>
    <w:p>
      <w:r>
        <w:rPr>
          <w:b/>
        </w:rPr>
        <w:t>E. 6.5.2</w:t>
      </w:r>
    </w:p>
    <w:p>
      <w:r>
        <w:t>Gemäss geltender Rechtsprechung ist der Vollzug der Wegweisung von Roma, Ashkali und Ägyptern in den Kosovo in der Regel zumutbar, sofern auf Grund einer Einzelfallabklärung feststeht, dass bestimmte Reintegrationskriterien - wie berufliche Ausbildung, Gesundheitszustand, Alter, ausreichende wirtschaftliche Lebensgrundlage und Beziehungsnetz in Kosovo - erfüllt sind (vgl. BVGE 2007/10 E. 5.3). Ausnahmsweise kann auf eine Einzelfallabklärung verzichtet werden, wenn der für den Wegweisungsvollzug relevante Sachverhalt als hinreichend erstellt zu erachten ist (vgl. Urteil des Bundesverwaltungsgerichts E-7635/2008 vom 16. März 2012). Vorliegend hat die Vorinstanz anlässlich des ersten Asylverfahrens des Beschwerdeführers Ende 2005 durch das Verbindungsbüro in Pristina Abklärungen vor Ort vornehmen lassen. Auch wenn seither mehrere Jahre vergangen sind, kann vorliegend auf diese Erkenntnisse zurückgegriffen werden. Zum damaligen Zeitpunkt lebte die insgesamt neunköpfige Familie des Beschwerdeführers zusammen mit dem Grossvater in einem kleinen Haus mit zwei Zimmern. Ein Zimmer war mit einem Holzofen zum Kochen und Heizen ausgestattet, ein Badezimmer gab es nicht. Die wirtschaftliche Situation der zehnköpfigen Familie wurde vom Verbindungsbüro als sehr schwierig bezeichnet, da diese keine Unterstützung von im Ausland lebenden Verwandten oder einer Sozialbehörde erhielt. Soweit möglich arbeiteten die Familienmitglieder als Tagelöhner, wobei sie im Monat gemeinsam durchschnittlich etwa Euro 100.- verdienten. Im Rahmen des zweiten Asylverfahren hat die Vorinstanz keine erneuten Abklärungen getätigt. Insoweit besteht eine gewisse Unklarheit darüber, welche ganz konkreten Lebensbedingungen der Beschwerdeführer und seine Familie bei einem Wegweisungsvollzug in den Kosovo antreffen werden. Aufgrund der nachfolgenden Erwägungen rechtfertigt es sich jedoch, auf eine erneute Abklärung vor Ort zu verzichten.</w:t>
      </w:r>
    </w:p>
    <w:p>
      <w:r>
        <w:rPr>
          <w:b/>
        </w:rPr>
        <w:t>E. 6.6.1</w:t>
      </w:r>
    </w:p>
    <w:p>
      <w:r>
        <w:t>Der Beschwerdeführer gehört der Ethnie der albanischsprachigen Roma an, seine Partnerin derjenigen der Ashkali. Das Bundesverwaltungsgericht hat sich in BVGE 2009/51 ausführlich zur Lage der Roma in Serbien und im Kosovo geäussert. Es hat unter anderem festgestellt, dass Roma wie Ashkali aufgrund ihrer ethnischen Zugehörigkeit generell unterschiedlichen Schikanen und Diskriminierungen ausgesetzt seien und ihre Lage in wirtschaftlicher und sozialer Hinsicht schwierig sei. An dieser im Jahre 2009 vorgenommenen Feststellung hat sich seither nichts geändert. Die kosovarischen Roma, Ashkali und Ägypter sind noch immer erheblichen sozialen und ökonomischen Diskriminierungen ausgesetzt. Insbesondere liegt im Kosovo die Arbeitslosigkeitsquote bei diesen Minderheiten heute zwischen 80 und 90 % und damit weit über dem im Übrigen auch schon hohen allgemeinen Durchschnitt von 45 %. Einige Quellen gehen sogar von einer noch höheren Arbeitslosigkeitsquote unter den Roma, Ashkali und Ägypter aus, insbesondere bei aus dem Ausland Zurückkehrenden (bis 98 %). Zudem sind diese ethnischen Minderheiten nach wie vor mit Diskriminierungen in den Bereichen Wohnen, Schulbildung, Fürsorge, Gesundheitsvorsorge sowie bei der Registrierung konfrontiert (vgl. Republic of Kosovo, Strategy for the Integration of Roma, Ashkali and Egyptian Communities in the Republic of Kosovo 2009 bis 2015, December 2008; Amnesty International zur Situation der Roma im Kosovo und zu den Abschiebungen von Roma in den Kosovo, Berlin, 6. Mai 2010; Schweizerische Flüchtlingshilfe [SFH], Fiorenza Kuthan, Kosovo: Le rapatriement des minorités roms, ashkalies, égyptiennes, Bern, 1. März 2012).</w:t>
      </w:r>
    </w:p>
    <w:p>
      <w:r>
        <w:rPr>
          <w:b/>
        </w:rPr>
        <w:t>E. 6.6.2</w:t>
      </w:r>
    </w:p>
    <w:p>
      <w:r>
        <w:t>Der Beschwerdeführer hat im Kosovo acht Jahre die Schule besucht und verfügt über keine Berufsausbildung. Gemäss seinen Aussagen hat er vor der Ausreise versucht, mit Gelegenheitsarbeiten unterschiedlichster Art etwas Geld zu verdienen. Im Sommer 2004 verliess er den Kosovo und hielt sich bis im Herbst 2006 in der Schweiz auf. Im Januar 2008 suchte er in der Schweiz ein zweites Mal um Asyl nach. Seither hält er sich hier auf. In Anbetracht der vorstehenden Ausführungen zur Arbeitslosensituation unter den Roma, Ashkali und Ägypter im Kosovo, der mangelnden Berufsausbildung sowie der insgesamt langen Landesabwesenheit erachtet es das Gericht als wenig wahrscheinlich, dass der Beschwerdeführer bei einer Rückkehr innert nützlicher Frist eine Anstellung finden wird, die es ihm erlauben würde, für sich, seine Partnerin und das gemeinsame Kind aufzukommen. Dass der Beschwerdeführer mit einer finanziellen Unterstützung seitens seiner Eltern und Geschwister rechnen könnte, erachtet das Gericht als praktisch ausgeschlossen. Für sämtliche Mitglieder der Familie ist es in Anbetracht der dargelegten wirtschaftlichen Situation im Kosovo genauso schwierig, eine Anstellung zu finden, wie für den Beschwerdeführer. Es ist daher davon auszugehen, dass, selbst wenn die Familie es wollte, sie den Beschwerdeführer mit seiner Familie kaum finanziell nachhaltig unterstützen könnte, ohne selbst in Not zu geraten. Dass die Partnerin des Beschwerdeführers für den Unterhalt der Familie aufkommen könnte, erachtet das Gericht als wenig wahrscheinlich. J._______ hat keine Berufsausbildung und verfügt lediglich über Berufserfahrungen als Küchenhilfe (vgl. Urteil des Bundesverwaltungsgerichts D-2459/2009 vom 26. Oktober 2011). Was die Wohnsituation anbelangt, so ist in Anbetracht der vorstehenden Erwägungen zur finanziellen Situation praktisch ausgeschlossen, dass sich der Beschwerdeführer für sich und seine kleine Familie eine eigene Wohnung leisten kann. Dass die Wohngemeinde beziehungsweise die kosovoarischen Behörden der jungen Familie eine Wohngelegenheit zur Verfügung stellen oder im erforderlichen Umfang Sozialhilfe ausrichten würde, ist nicht wahrscheinlich. Schliesslich würde für den Beschwerdeführer, seine Partnerin und das gemeinsame Kind die grundsätzliche Möglichkeit bestehen, ins Haus der Familie des Beschwerdeführers einzuziehen. Dieses ist allerdings mit nur zwei Zimmern ausgestattet, wobei eines gleichzeitig auch als Küche dient. Ein Badezimmer fehlt. Zudem haben vor der Ausreise des Beschwerdeführers insgesamt zehn Personen in diesen beiden Räumen gelebt. Möglicherweise hat sich dies zwischenzeitlich verändert, mithin hat eine Schwester geheiratet und deshalb traditionsgemäss das Haus verlassen. Andererseits wäre auch möglich, dass ein Bruder geheiratet hat und nun - ebenfalls der Tradition entsprechend - mit seiner Frau und allfälligen Kindern bei den Eltern lebt. Insoweit ist mehr als fraglich, ob die Familie des Beschwerdeführers weitere drei Personen längerfristig bei sich aufnehmen kann. Die Vorinstanz erachtete eine Rückkehr des Beschwerdeführers zu seinem Onkel nach D._______ als zumutbar. Diese Einschätzung teilt das Gericht nicht. Gemäss den Aussagen des Beschwerdeführers hatte der Beschwerdeführer dort keine Arbeit und sein Onkel nicht einmal genügend Geld, sich selbst zu ernähren (vgl. B13/14 S. 11). Schliesslich ist auch die Möglichkeit einer Rückkehr zur Familie der Partnerin auszuschliessen. J._______ ist aktuell noch mit einem anderen Mann verheiratet, lebt mit dem Beschwerdeführer im Konkubinat und hat ein Kind von ihm. Unter diesen besonderen Umständen erachtet das Gericht die Möglichkeit einer Aufnahme bei der Familie von J._______ als unwahrscheinlich bis ausgeschlossen.</w:t>
      </w:r>
    </w:p>
    <w:p>
      <w:r>
        <w:rPr>
          <w:b/>
        </w:rPr>
        <w:t>E. 6.7</w:t>
      </w:r>
    </w:p>
    <w:p>
      <w:r>
        <w:t>In Würdigung der besonderen Umstände des vorliegenden Falles sowie insbesondere angesichts der nach wie vor schwierigen Lebensbedingungen für die Roma und Ashkali im Kosovo geht das Gericht davon aus, dass der Beschwerdeführer bei einer Rückkehr zusammen mit seiner Partnerin und dem gemeinsamen Kind einer konkreten Existenzgefährdung ausgesetzt wäre. Der Vollzug der Wegweisung ist demnach nicht zumutbar im Sinne von Art. 83 Abs. 4 AuG. Der Beschwerdeführer ist daher in der Schweiz vorläufig aufzunehmen.</w:t>
      </w:r>
    </w:p>
    <w:p>
      <w:r>
        <w:rPr>
          <w:b/>
        </w:rPr>
        <w:t>E. 6.8</w:t>
      </w:r>
    </w:p>
    <w:p>
      <w:r>
        <w:t>Die drei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Urteil des Bundesverwaltungsgerichts E-6612/2009 vom 19. März 2010).</w:t>
      </w:r>
    </w:p>
    <w:p>
      <w:r>
        <w:rPr>
          <w:b/>
        </w:rPr>
        <w:t>E. 7</w:t>
      </w:r>
    </w:p>
    <w:p>
      <w:r>
        <w:t>Zusammenfassend ist die Beschwerde betreffend die Dispositivziffern 1 (Nichterfüllen der Flüchtlingseigenschaft), Ziffer 2 (Ablehnung Asylgesuch) und Ziffer 3 (verfügte Wegweisung) der Verfügung des BFM vom 16. Februar 2009 abzuweisen. Betreffend den Vollzug der Wegweisung (Dispositivziffer 4 und 5) ist sie demgegenüber gutzuheissen. Das BFM ist anzuweisen, den Beschwerdeführer vorläufig aufzunehmen. Dabei wird es als Folge des vorliegenden Urteils auch die vorläufige Aufnahme der Partnerin des Beschwerdeführers, J._______ und des gemeinsamen Sohnes K._______ (N ...), zu regeln haben.</w:t>
      </w:r>
    </w:p>
    <w:p>
      <w:r>
        <w:rPr>
          <w:b/>
        </w:rPr>
        <w:t>E. 8.1</w:t>
      </w:r>
    </w:p>
    <w:p>
      <w:r>
        <w:t>Bei diesem Ausgang des Verfahrens ist von einem hälftigen Obsiegen des Beschwerdeführers auszugehen (Art. 63 Abs. 1 und 5 VwVG; Art. 1-3 des Reglements vom 21. Februar 2008 über die Kosten und Entschädigungen vor dem Bundesverwaltungsgericht [VGKE, SR 173.320.2]). Die Kosten des Verfahrens sind daher auf Fr. 300.- festzusetzen (vgl. Art. 63 Abs. 1 VwVG; Art. 2 und 3 VGKE i.V.m. Art. 16 Abs. 1 Bst. a VGG).</w:t>
      </w:r>
    </w:p>
    <w:p>
      <w:r>
        <w:rPr>
          <w:b/>
        </w:rPr>
        <w:t>E. 8.2</w:t>
      </w:r>
    </w:p>
    <w:p>
      <w:r>
        <w:t>Obsiegende und teilweise obsiegende Parteien haben Anspruch auf eine Parteientschädigung für die ihnen erwachsenen notwendigen Kosten (Art. 64 Abs. 1 VwVG, Art. 7 Abs. 1 und 4 VGKE). Angesichts des teilweisen Obsiegens ist dem Beschwerdeführer eine reduzierte Parteientschädigung zuzusprechen (Art. 7 Abs. 2 VGKE). Die beiden Rechtsvertreter haben keine Kostennote eingereicht. Auf entsprechende Nachforderungen kann verzichtet werden, da sich die Vertretungskosten aufgrund der Akten abschätzen lassen (Art. 14 Abs. 2 VGKE). Unter Berücksichtigung der massgebenden Berechnungsfaktoren (Art. 8, 9 und 11 VGKE) ist die um die Hälfte zu kürzende Parteientschädigung auf Fr. 600.-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