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E-1775/2016 vom 3. Dezember 2018</w:t>
      </w:r>
    </w:p>
    <w:p>
      <w:r>
        <w:t>Bundesverwaltungsgericht, 2018-12-03, DE</w:t>
      </w:r>
    </w:p>
    <w:p>
      <w:r>
        <w:rPr>
          <w:b/>
        </w:rPr>
        <w:t xml:space="preserve">Quelle: </w:t>
      </w:r>
      <w:r>
        <w:t>https://mcp.opencaselaw.ch/entscheid/bvger_E-1775_2016</w:t>
      </w:r>
    </w:p>
    <w:p>
      <w:r>
        <w:t>FR: TAF E-1775/2016 du 3 décembre 2018</w:t>
      </w:r>
    </w:p>
    <w:p>
      <w:r>
        <w:t>IT: TAF E-1775/2016 del 3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Aus organisatorischen Gründen im Geschäftsbetrieb der Abteilung V ist die bisherige Instruktionsrichterin, Christa Luterbacher, für das vorliegende Beschwerdeverfahren nicht mehr zuständig. Am 1. November 2018 ist Constance Leisinger als zuständige Instruktionsrichterin und vorsitzende Richterin im vorliegenden Beschwerdeverfahren eingesetzt worden.</w:t>
      </w:r>
    </w:p>
    <w:p>
      <w:r>
        <w:rPr>
          <w:b/>
        </w:rPr>
        <w:t>E. 2</w:t>
      </w:r>
    </w:p>
    <w:p>
      <w:r>
        <w:t>Die Kognition des Bundesverwaltungsgerichts und die zulässigen Rügen richten sich im Asylbereich nach Art. 106 Abs. 1 AsylG (vgl.BVGE 2014/2016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2007/31 E. 5.2 f. und 2008/4 E. 5.2, je m.w.H.).</w:t>
      </w:r>
    </w:p>
    <w:p>
      <w:r>
        <w:rPr>
          <w:b/>
        </w:rPr>
        <w:t>E. 4.2</w:t>
      </w:r>
    </w:p>
    <w:p>
      <w:r>
        <w:t>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w:t>
      </w:r>
    </w:p>
    <w:p>
      <w:r>
        <w:rPr>
          <w:b/>
        </w:rPr>
        <w:t>E. 4.3</w:t>
      </w:r>
    </w:p>
    <w:p>
      <w:r>
        <w:t>Aufgrund der Subsidiarität des flüchtlingsrechtlichen Schutzes setzt die Anerkennung der Flüchtlingseigenschaft ausserdem voraus, dass die betroffene Person in ihrem Heimat- oder Herkunftsstaat keinen ausreichenden Schutz finden kann (vgl. BVGE 2011/51 E. 7.1 ff. m.w.H.).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2010/57 E. 2 m.w.H.).</w:t>
      </w:r>
    </w:p>
    <w:p>
      <w:r>
        <w:rPr>
          <w:b/>
        </w:rPr>
        <w:t>E. 4.4</w:t>
      </w:r>
    </w:p>
    <w:p>
      <w:r>
        <w:t>Die Asylgründe sind sodann glaubhaft zu machen. Eine Glaubhaftmachung ist zu bejahen, wenn das Vorbringen genügend substanziiert, in sich schlüssig und plausibel ist. Es darf sich nicht in vagen Schilderungen erschöpfen, in wesentlichen Punkten nicht widersprüchlich sein, der inneren Logik entbehren oder den Tatsachen oder der allgemeinen Erfahrung widersprechen. Glaubhaftmachen bedeutet ferner - im Gegensatz zum strikten Beweis - ein reduziertes Beweismass und lässt durchaus Raum für gewisse Einwände und Zweifel am Vorbringen der gesuchstellenden Person. Entscheidend ist, ob die Gründe, welche für die Richtigkeit der Sachverhaltsdarstellung sprechen, überwiegen oder nicht. Dabei ist auf eine objektivierte Sichtweise abzustellen (vgl. BVGE 2010/57 E. 2.2. m.w.H.).</w:t>
      </w:r>
    </w:p>
    <w:p>
      <w:r>
        <w:rPr>
          <w:b/>
        </w:rPr>
        <w:t>E. 5.1</w:t>
      </w:r>
    </w:p>
    <w:p>
      <w:r>
        <w:t>Der Beschwerdeführer macht geltend, er habe von 2008 bis Ende 2010 in Kabul einen militärischen Kurs besucht, sei Polizist geworden und als einfacher Soldat bei der afghanischen Armee respektive bei den US-amerikanischen Streitkräften in Afghanistan eingesetzt worden. Dabei habe er sich insbesondere als Chauffeur und Leibwächter für die US-Amerikaner betätigt. Er macht teilweise ausführliche Angaben zu seinen Tätigkeiten; er nennt beispielsweise Namen von Kommandanten und eines Kursleiters und konkrete Einsatzgebiete (vgl. B26, Antworten 44-68). Er belegt seine Ausbildung auch mit entsprechenden Beweismitteln (B25). Im Zusammenhang mit dieser Tätigkeit für die militärischen Streitkräfte machte er geltend, regelmässig von regierungsfeindlichen Personen telefonisch bedroht worden zu sein. Zudem sei er mit einem Messer am Kopf und Körper verletzt worden und habe sich in Spitalpflege begeben müssen. Wegen dieser ständigen Drohungen habe er im Jahr 2010 Afghanistan Richtung Iran verlassen.</w:t>
      </w:r>
    </w:p>
    <w:p>
      <w:r>
        <w:rPr>
          <w:b/>
        </w:rPr>
        <w:t>E. 5.2</w:t>
      </w:r>
    </w:p>
    <w:p>
      <w:r>
        <w:t>Die Vorinstanz bestreitet weder in der angefochtenen Verfügung noch im Rahmen des Schriftenwechsels auf Beschwerdeebene den vom Beschwerdeführer vorgetragenen Einsatz bei den afghanischen und US-amerikanischen Streitkräften; es werden auch keine Zweifel am Inhalt der eingereichten Beweismittel und Ausweise angebracht. Das SEM lässt die Frage, ob der Beschwerdeführer im Falle einer Rückkehr nach Afghanistan nach wie vor im Visier regierungsfeindlicher Kräfte stehen würde, explizit offen und schliesst gleichzeitig ein diesbezügliches erhöhtes Interesse an seiner Person aufgrund seines längeren Aufenthalts im Iran und in Europa aus. Die vom Beschwerdeführer vorgetragenen Drohungen und erlittenen Verletzungen nahm das SEM im zugrundeliegenden Sachverhalt auf und brachte auch keine diesbezüglichen Zweifel vor. Vielmehr verwies das SEM auf die grundsätzliche Schutzwilligkeit und -fähigkeit der staatlichen Behörden in Kabul (vgl. angefochtene Verfügung, Ziffer II, S. 4).</w:t>
      </w:r>
    </w:p>
    <w:p>
      <w:r>
        <w:rPr>
          <w:b/>
        </w:rPr>
        <w:t>E. 5.3</w:t>
      </w:r>
    </w:p>
    <w:p>
      <w:r>
        <w:t>Das Bundesverwaltungsgericht hat aufgrund der in sich schlüssigen und konzisen Schilderungen des Beschwerdeführers ebenfalls keinen Zweifel an der vom Beschwerdeführer geltend gemachten Tätigkeit vor seiner Ausreise aus Kabul. Seine Tätigkeit wird überdies durch verschiedene Zutrittsausweise und Diplome im Original belegt (vgl. B25).</w:t>
      </w:r>
    </w:p>
    <w:p>
      <w:r>
        <w:rPr>
          <w:b/>
        </w:rPr>
        <w:t>E. 6.1</w:t>
      </w:r>
    </w:p>
    <w:p>
      <w:r>
        <w:t>Das Bundesverwaltungsgericht hat mit Urteil D-5800/2016 vom 13. Oktober 2017 (als Referenzurteil publiziert) eine neue Lagebeurteilung zu Afghanistan vorgenommen. Zusammenfassend ergibt sich eine deutliche Verschlechterung der Sicherheitslage seit dem letzten Länderurteil des Bundesverwaltungsgerichts im Jahr 2011 (BVGE 2011/7) und dem Abzug der ISAF über alle Regionen hinweg. Seit dem Übergang der Kontrolle von den ISAF-Kampftruppen auf die Afghan National Security Forces (ANSF) hat der Konflikt mehr und mehr den Charakter eines Bürgerkrieges angenommen, wovon grosse Teile des Staatsgebiets direkt von Kampfhandlungen betroffen sind. Hinzu kommen terroristische Anschläge in den von offenen Gefechten weitgehend ausgenommenen urbanen Zentren. Im Visier stehen vor allem die Grossstädte Kabul und Kandahar, aber auch kleinere Städte wie Dschalalabad und Kunduz (vgl. dazu ausführlich E. 7.3 und E. 7.4 sowie zu den jüngsten Anschlägen: Neue Zürcher Zeitung vom 22. Oktober 2018: Taliban versuchen, Wahlen zu sabotieren). Es erscheint unklar, ob sich die afghanischen Sicherheitskräfte gegen die regierungsfeindlichen Gruppierungen werden behaupten können, zumal die Desertions- und Abgangsrate sehr hoch sowie der Ausbildungsstand der Rekruten schlecht ist und eine Infiltrierung durch regierungsfeindliche Gruppierungen stattfindet. Zudem gilt die Afghan Local Police (ALP) in der afghanischen Bevölkerung als korrupt und wird für gravierende Menschenrechtsverletzungen und Missbräuche verantwortlich gemacht. Hinzu kommt die Tatsache, dass Angehörige der ALP für die von ihnen begangenen Vergehen nicht zur Rechenschaft gezogen werden und teilweise unter der Kontrolle lokaler Machthaber stehen (vgl. zum Ganzen SFH, Afghanistan: Update, Die aktuelle Sicherheitslage, Bern, 30. September 2016, S. 6 ff.; Bertelsmann Stiftung, BTI 2016 - Afghanistan Country Report, https://www.bti-project.org/fileadmin/files/BTI/Downloads/Reports/2016/p df/BTI_2016_Afghanistan.pdf , abgerufen am 12.11.2018; vgl. auch Urteil des BVGer E-5522/2017 vom 30. Januar 2018 mit weiteren Verweisen).</w:t>
      </w:r>
    </w:p>
    <w:p>
      <w:r>
        <w:rPr>
          <w:b/>
        </w:rPr>
        <w:t>E. 6.2.1</w:t>
      </w:r>
    </w:p>
    <w:p>
      <w:r>
        <w:t>Bei der Beurteilung der Sicherheitslage lassen sich sodann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(vgl. dazu: UNHCR Eligibility Guidelines for Assessing the International Needs of Asylum-Seekers from Afghanistan, 30. August 2018, A. Risk Profiles, S. 39 ff., insbesondere Bst. d, S. 43 sowie die beiden EASO Berichte: "Country of Origin Information Report: Afghanistan: Indiviudals targeted by armed actors in the conflict" vom Dezember 2017, S. 34 und 35 und "Country Guidance: Afghanistan: Guidance note and common analysis", Juni 2018, S. 41-43).</w:t>
      </w:r>
    </w:p>
    <w:p>
      <w:r>
        <w:rPr>
          <w:b/>
        </w:rPr>
        <w:t>E. 6.2.2</w:t>
      </w:r>
    </w:p>
    <w:p>
      <w:r>
        <w:t>Gemäss den Angaben des UN Office for the Coordination of Humanitarian Affairs (OCHA) kam es im Jahr 2017 zu 388 Vorfällen gegenüber solche Personen (im Vergleich: rund 200 im Jahr 2016), worunter namentlich Entführungen und Angriffe fallen, bei denen die Betroffenen verletzt oder gar getötet worden sind (UN OCHA, Humanitarian Bulletin Afghanistan, Issue 72; 1. Bis 31. Januar 2018, https://reliefweb.int/sites/reliefweb.int/files/resources/20180215_ocha_afghanistan_monthly_humanitarian_bulletin_january_2018_en_0.pdf, abgerufen am 12.11.2018).</w:t>
      </w:r>
    </w:p>
    <w:p>
      <w:r>
        <w:rPr>
          <w:b/>
        </w:rPr>
        <w:t>E. 6.2.3</w:t>
      </w:r>
    </w:p>
    <w:p>
      <w:r>
        <w:t>Auch andere Quellen berichten von gezielten Angriffen auf Mitarbeiter der afghanischen Regierung oder internationaler Organisationen und einem erhöhten Risiko dieser Personen, einem Gewaltakt - insbesondere durch die Hände der Taliban - ausgesetzt zu werden (vgl. Australian Department of Foreign Affairs and Trade [DFAT], Country Information Report Afghanistan, vom 18.09.2017, Ziff. 3.19 und 3.23; Schweizerische Flüchtlingshilfe [SFH]: Afghanistan: Die aktuelle Sicherheitslage, 12. September 2018, insbesondere S. 9; Austrian Centre for Country of Origin and Asylum Research and Documentation [ACCORD]: Aktuelle Sicherheitslage in Afghanistan und Chronologie für Kabul, 11. September 2018, Kapitel 1.2.2 und US Department of State, Country Report on Human Rights Practices for 2016, 03.03.2017, Abschnitt 1g).</w:t>
      </w:r>
    </w:p>
    <w:p>
      <w:r>
        <w:rPr>
          <w:b/>
        </w:rPr>
        <w:t>E. 6.3</w:t>
      </w:r>
    </w:p>
    <w:p>
      <w:r>
        <w:t>Nach Einschätzung des Gerichts gehörte der Beschwerdeführer als ehemaliger Soldat, Chauffeur und Leibwächter der afghanischen und US-amerikanischen Streitkräfte im Zeitpunkt seiner Ausreise aus Afghanistan im Jahr 2010 zur Personengruppe, welche aufgrund ihrer Exponiertheit bereits an sich einem erhöhten Verfolgungsrisiko ausgesetzt war. Er wurde im Umgang mit Waffen ausgebildet (vgl. B26, Antwort 44), nahm an militärischen Trainings teil und begleitete Angehörige der US-amerikanischen Truppen als Chauffeur und Leibwächter auf dem Luft- und Landweg in Einsatzgebiete in Kandahar, Helmland und Ghazni. Dabei soll er stets bewaffnet gewesen sein (vgl. B26, Antworten 56-62). Aufgrund seiner Schilderungen und der eingereichten Fotoaufnahmen ist zudem davon auszugehen, dass der Beschwerdeführer bei seinem Einsatz eine Uniform trug (vgl. B26 Antworten 74 und 77) und daher als Angehöriger der Streitkräfte erkennbar war. Es ist zudem davon auszugehen, dass der Beschwerdeführer einer erhöhten Gefahr der Verfolgung durch die Taliban oder andere regierungsfeindliche Organisationen ausgesetzt war und in der Folge mehrfach bedroht, einmal auch körperlich angegriffen wurde.</w:t>
      </w:r>
    </w:p>
    <w:p>
      <w:r>
        <w:rPr>
          <w:b/>
        </w:rPr>
        <w:t>E. 6.4</w:t>
      </w:r>
    </w:p>
    <w:p>
      <w:r>
        <w:t>Nach dem Gesagten gelangt das Gericht zum Schluss, dass der Beschwerdeführer im Zeitpunkt seiner Ausreise aus Afghanistan im Jahr 2010 aufgrund seines Profils eine begründete Furcht vor Verfolgung durch die Taliban und regierungsfeindlichen Gruppierungen im Sinne von Art. 3 AsylG hatte. Nachdem sich die Sicherheits- und Verfolgungslage in Afghanistan seit seiner Ausreise im Jahr 2010 keineswegs verbessert, sondern vielmehr über alle Regionen hinweg weiter verschlechtert hat (vgl. Referenzurteil D-5800/2016 E. 7.6) und ehemalige Angehörige der ausländischen Militärtruppen nach wie vor im Visier der regierungsfeindlichen Truppen stehen (vgl. die oben erwähnten UNHCR Eligibility Guidelines sowie die zitierten EASO-Berichte), ist davon auszugehen, dass er im Falle einer Rückkehr nach Afghanistan begründeterweise auch aktuell künftige Verfolgung vor Übergriffen seitens der Taliban oder anderer regierungsfeindlicher Gruppierungen zu befürchten hat (vgl. zur Regelvermutung, dass von erlittener, mit der Ausreise in Kausalzusammenhang stehender Vorverfolgung ohne Weiteres auf das Bestehen einer begründeten Furcht vor künftiger Verfolgung zu schliessen ist: BVGE 2009/51 E. 4.2.5 mit weiteren Verweisen).</w:t>
      </w:r>
    </w:p>
    <w:p>
      <w:r>
        <w:rPr>
          <w:b/>
        </w:rPr>
        <w:t>E. 6.5</w:t>
      </w:r>
    </w:p>
    <w:p>
      <w:r>
        <w:t>Nachdem die festgestellte Verfolgungsgefahr nicht von staatlichen Organen, sondern von Dritten ausgeht, bleibt die Frage zu prüfen, ob für den Beschwerdeführer eine innerstaatliche Flucht- beziehungsweise Schutzalternative besteht. Gemäss Rechtsprechung des Bundesverwaltungsgerichts bedingt die Annahme einer innerstaatlichen Schutzalternative im Lichte der Schutztheorie, dass am Zufluchtsort eine funktionierende und effiziente Schutzinfrastruktur besteht und der Staat gewillt ist, der in einem anderen Landesteil von Verfolgung betroffenen Person am Zufluchtsort Schutz zu gewähren. Praxisgemäss sind an die Effektivität des Schutzes am Zufluchtsort hohe Anforderungen zu stellen. Namentlich genügt es nicht, dass der Verfolger am Zufluchtsort nicht präsent ist, sondern es muss auch die Möglichkeit ausgeschlossen werden können, dass er seinen Einfluss auf diesen Ort ausdehnen kann (vgl. BVGE 2013/5 E. 5.4.3, BVGE 2011/51 E. 8.5.1 und 8.6). Schliesslich muss es dem Betreffenden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Für die Frage der Zumutbarkeit kommt der Zumutbarkeitsbegriff gemäss Art. 83 AuG zur Anwendung (vgl. BVGE 2011/51 E. 8). Vorliegend ist zu berücksichtigen, dass die Taliban landesweit aktiv sind und in den vergangenen Jahren eine Entwicklung hin zu einer gut organisierten Bewegung durchlaufen haben, wodurch sie in verschiedenen Provinzen an Einfluss, Macht und Stärke gewonnen haben. Sie verübten auch mehrere komplexe Angriffe in Kabul. Die afghanischen Sicherheitskräfte können die feindlich gesinnten Konfliktparteien kaum in genügender Weise zurückdrängen oder kontrollieren (vgl. Referenzurteil D-5800/2016, E. 7.3.1 und 7.3.2). Daraus folgt, dass die afghanischen Sicherheitskräfte - auch in Kabul - für Angehörige von Personengruppen mit einem hohen Risikoprofil - zu welchen der Beschwerdeführer gehört - keine funktionierende und effiziente Schutzinfrastruktur zur Verfügung stellen können (vgl. Urteile des BVGer D-3402/2017 vom 14. Dezember 2017 E. 7.2; E-117/2016 vom 31. Oktober 2017 E. 7.4; D-416/2015 vom 25. August 2017 E. 6.9.3 und E-4394/2016 vom 19. April 2018). Eine Schutzalternative im Sinne der Rechtsprechung besteht offensichtlich auch in anderen Teilen Afghanistans nicht, zumal die Taliban in allen Landesteilen ihre Aktivitäten entfalten und die Schutzinfrastruktur gegenüber derjenigen von Kabul auch in anderen grossen Städten nicht effizienter ist.</w:t>
      </w:r>
    </w:p>
    <w:p>
      <w:r>
        <w:rPr>
          <w:b/>
        </w:rPr>
        <w:t>E. 6.6</w:t>
      </w:r>
    </w:p>
    <w:p>
      <w:r>
        <w:t>Bei dieser Sachlage erübrigt es sich, auf die übrigen Vorbringen des Beschwerdeführers und die entsprechenden Erwägungen des SEM weiter einzugehen.</w:t>
      </w:r>
    </w:p>
    <w:p>
      <w:r>
        <w:rPr>
          <w:b/>
        </w:rPr>
        <w:t>E. 7</w:t>
      </w:r>
    </w:p>
    <w:p>
      <w:r>
        <w:t>Nach dem Gesagten ist festzustellen, dass der Beschwerdeführer die Flüchtlingseigenschaft im Sinne von Art. 3 AsylG erfüllt. Anhaltspunkte für das Vorliegen von Asylausschlussgründen im Sinne von Art. 53 AsylG gehen aus den Akten nicht hervor, weshalb ihm Asyl zu gewähren ist (Art. 49 AsylG).</w:t>
      </w:r>
    </w:p>
    <w:p>
      <w:r>
        <w:rPr>
          <w:b/>
        </w:rPr>
        <w:t>E. 8</w:t>
      </w:r>
    </w:p>
    <w:p>
      <w:r>
        <w:t>Die Verfügung des SEM vom 19. Februar 2016 ist aufzuheben und die Vorinstanz ist anzuweisen, dem Beschwerdeführer in der Schweiz in Anerkennung der Flüchtlingseigenschaft Asyl zu gewähren.</w:t>
      </w:r>
    </w:p>
    <w:p>
      <w:r>
        <w:rPr>
          <w:b/>
        </w:rPr>
        <w:t>E. 9.1</w:t>
      </w:r>
    </w:p>
    <w:p>
      <w:r>
        <w:t>Bei diesem Ausgang des Verfahrens sind keine Kosten aufzuerlegen (Art. 63 Abs. 1 und 2 VwVG). Der am 15. April 2016 geleistete Kostenvorschuss von Fr. 600. - ist zurückzuerstatten.</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zu Lasten der Vorinstanz eine Entschädigung für die ihm notwendigerweise erwachsenen Parteikosten zuzusprechen. Die mit Eingabe vom 12. November 2018 eingereichte Kostennote weist für den Zeitraum ab der Mandatsübernahme der neuen Rechtsvertreterin einen Aufwand von acht Stunden bei einem Stundenansatz von Fr. 200.- sowie Auslagen von Fr. 50. - auf. Der Aufwand scheint - unter Berücksichtigung auch der Eingabe vom 12. November 2018 - gesamthaft als angemessen. Auch der Stundenansatz von Fr. 200.- ist für die Parteientschädigung als angemessen zu erachten, weswegen die an die heutige Rechtsvertreterin auszurichtende Parteientschädigung auf Fr. 1'650.- festzusetzen ist. Hinzu kommt eine mangels Vorliegens einer Kostennote vom Gericht auf Fr. 400.- zu schätzende Parteientschädigung für die Aufwendungen des ersten Rechtsvertreters. Die von der Vorinstanz dem Beschwerdeführer auszurichtende Parteientschädigung wird insgesamt auf Fr. 2'050.- festgesetzt. (Dispositiv nächst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