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E-1775/2013 vom 10. April 2013</w:t>
      </w:r>
    </w:p>
    <w:p>
      <w:r>
        <w:t>Bundesverwaltungsgericht, 2013-04-10, DE</w:t>
      </w:r>
    </w:p>
    <w:p>
      <w:r>
        <w:rPr>
          <w:b/>
        </w:rPr>
        <w:t xml:space="preserve">Quelle: </w:t>
      </w:r>
      <w:r>
        <w:t>https://mcp.opencaselaw.ch/entscheid/bvger_E-1775_2013</w:t>
      </w:r>
    </w:p>
    <w:p>
      <w:r>
        <w:t>FR: TAF E-1775/2013 du 10 avril 2013</w:t>
      </w:r>
    </w:p>
    <w:p>
      <w:r>
        <w:t>IT: TAF E-1775/2013 del 10 aprile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2 AsylG und Art. 52 VwVG) ist einzutreten.</w:t>
      </w:r>
    </w:p>
    <w:p>
      <w:r>
        <w:rPr>
          <w:b/>
        </w:rPr>
        <w:t>E. 1.2</w:t>
      </w:r>
    </w:p>
    <w:p>
      <w:r>
        <w:t>Soweit die Beschwerdeführerin Anträge zum Verfahren stellt - Wiederherstellung der aufschiebenden Wirkung, vorsorgliche Anweisung der zuständigen Behörde, die Kontaktaufnahme mit den Behörden des Heimat- und Herkunftsstaats sowie jegliche Datenweitergabe an dieselben zu unterlassen sowie (eventualiter) bei bereits erfolgter Datenweitergabe darüber in einer separaten Verfügung informiert zu werden -, so ist die Beschwerde mangelhaft, weil es an einer Begründung fehlt (Art. 52 Abs. 1 VwVG). Eine Rückweisung zur Verbesserung des Mangels (Art. 52 Abs. 2 VwVG) kann unterbleiben, weil die verfahrensrechtlichen Anträge mit dem vorliegenden Endentscheid gegenstandslos werden.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einem jüngeren Entscheid dargelegt und folgt dabei ständiger Praxis. Darauf kann hier verwiesen werden (vgl. statt vieler BGVE 2010/57 E. 2.2 und 2.3).</w:t>
      </w:r>
    </w:p>
    <w:p>
      <w:r>
        <w:rPr>
          <w:b/>
        </w:rPr>
        <w:t>E. 3.2</w:t>
      </w:r>
    </w:p>
    <w:p>
      <w:r>
        <w:t>Die Vorinstanz hat den Massstab des Glaubhaftmachens nach Art. 7 AsylG auf den vorliegenden Fall korrekt angewendet. Sie hat in der angefochtenen Verfügung einlässlich begründet, weshalb die Vorbringen der Beschwerdeführerin nicht nachvollziehbar, pauschal oder nicht plausibel sind und weshalb von einer konstruierten Sachverhaltsschilderung auszugehen ist. Die Beschwerdeführerin setzt sich mit der vorinstanzlichen Beweiswürdigung kaum auseinander und zeigt nicht auf, inwiefern diese Bundesrecht verletzt oder zu einer fehlerhaften Sachverhaltsfeststellung führen soll. Solches ist auch nicht ersichtlich. Die Vorinstanz stellt zu Recht fest, dass die von ihr geltend gemachte Reflexverfolgung unglaubhaft ist. So konnte sie keine näheren Angaben über die Arbeitstätigkeit ihrer Mutter als Sekretärin (...) machen. Auch ihre Ausführungen über die Ermordung ihrer Mutter fielen äusserst oberflächlich und substanzarm aus und lassen jegliche Realitätskennzeichen vermissen. Dies ist insbesondere deshalb schwer nachvollziehbar, weil sie ihren Angaben zufolge die Ermordung unmittelbar miterlebt habe. Ferner sind ihre Angaben über die Übergabe des Leichnams widersprüchlich und realitätsfremd. Anlässlich der Befragung gab sie an, dass sie den Leichnam gegen Entgelt im Universitätsspital gelassen habe. Bei der Anhörung führte sie hingegen aus, dass das Universitätsspital die Annahme der Leiche verweigert habe und sie deshalb nach B._______ gebracht habe. Abgesehen von den Widersprüchen ist es nicht glaubhaft, dass ein Universitätsspital die Annahme eines durch Schussverletzungen gezeichneten Leichnams ablehnen bzw. ein Entgelt für die Annahme verlangen würde und keine weiteren Schritte in die Wege geleitet hätte. Zusammenfassend ist in Übereinstimmung mit der Vorinstanz festzustellen, dass die Vorbringen der Beschwerdeführerin nicht glaubhaft sind. Die Beschwerdeführerin hat somit nichts vorgebracht, das geeignet wäre, die Flüchtlingseigenschaft nachzuweisen oder zumindest glaubhaft zu machen. Sie erfüllt die Flüchtlingseigenschaft nicht, weshalb das BFM zu Recht das Asylgesuch ablehnte.</w:t>
      </w:r>
    </w:p>
    <w:p>
      <w:r>
        <w:rPr>
          <w:b/>
        </w:rPr>
        <w:t>E. 4</w:t>
      </w:r>
    </w:p>
    <w:p>
      <w:r>
        <w:t>Gemäss Art. 44 Abs. 1 AsylG verfügt das Bundesamt in der Regel die Wegweisung aus der Schweiz und ordnet den Vollzug an, wenn es das Asylgesuch ablehnt oder darauf nicht eintritt. Da die Beschwerdeführerin weder über eine ausländerrechtliche Aufenthaltsbewilligung noch über einen Anspruch auf Erteilung einer solchen verfügt (BVGE 2009/50 E. 9), ist die Anordnung der Wegweisung nicht zu beanstanden.</w:t>
      </w:r>
    </w:p>
    <w:p>
      <w:r>
        <w:rPr>
          <w:b/>
        </w:rPr>
        <w:t>E. 5.1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 ist.</w:t>
      </w:r>
    </w:p>
    <w:p>
      <w:r>
        <w:rPr>
          <w:b/>
        </w:rPr>
        <w:t>E. 5.2</w:t>
      </w:r>
    </w:p>
    <w:p>
      <w:r>
        <w:t>Der Vollzug der Wegweisung ist nach Art. 83 Abs. 3 AuG unzulässig, wenn völkerrechtliche Verpflichtungen der Schweiz einer Weiterreise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der Beschwerdeführerin und den Akten ergeben sich keine konkreten Anhaltspunkte dafür, dass sie für den Fall einer Ausschaffung in den Heimatstaat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im Heimat- oder Herkunftsstaat auf Grund von Situationen wie Krieg, Bürgerkrieg, allgemeiner Gewalt und medizinischer Notlage konkret gefährdet ist. Wird eine konkrete Gefährdung festgestellt, ist - unter Vorbehalt von Art. 83 Abs. 7 AuG - die vorläufige Aufnahme zu gewähren.</w:t>
      </w:r>
    </w:p>
    <w:p>
      <w:r>
        <w:rPr>
          <w:b/>
        </w:rPr>
        <w:t>E. 5.3.1</w:t>
      </w:r>
    </w:p>
    <w:p>
      <w:r>
        <w:t>Mit Bezug auf die Sicherheits- und Menschenrechtslage in der Côte d'Ivoire ist zunächst auf eine vom Bundesverwaltungsgericht vorgenommene Lageeinschätzung im publizierten Urteil vom 24. November 2009 (BVGE 2009/41) zu verweisen. Das Gericht hält darin fest, dass im Rah-men des Abkommens von Ouagadougou vom März 2007 die politische Lage sich deutlich habe stabilisieren können und eine positive Entwicklung der allgemeinen Sicherheits- und Menschenrechtslage festzustellen sei (vgl. a.a.O. E. 7.3.2 ff.). Weiter wurde festgehalten, dass eine Rück-kehr von Personen in den Norden und in den Westen des Landes auf-grund der dort zurzeit herrschenden ungenügenden Sicherheitslage nicht zumutbar sei. Bei Personen, die aus dem Westen oder dem Norden des Landes stammen,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 In der Côte d'Ivoire fanden am 28. November 2010 Präsidentschaftswahlen statt. Nachdem der abgewählte Präsident Laurent Gbagbo den Wahlsieg seines Herausforderers Alassane Ouattara nicht anerkannt hatte, brachten im März 2011 heftige Kämpfe zwischen den Truppen der Kontrahenten aus. Am 11. April 2011 wurde Gbagbo festgenommen; in manchen Teilen Abidjans dauerten die Kämpfe bis Anfang Mai 2011. Am 1. Juni 2011 stellte Präsident Ouattara die neue Regierung vor. Seither hat sich die Sicherheitslage in Abidjan kontinuierlich verbessert. Am 29. November 2011 wurde Gbagbo an den Internationalen Strafgerichtshof in Den Haag ausgeliefert und die Parlamentswahlen vom 11. Dezember 2011 sind - wie der UN-Vertreter für die Elfenbeinküste, Bert Koenders, mitteilte - im Grossen und Ganzen friedlich verlaufen. In der Côte d'Ivoire herrscht aktuell keine landesweit bestehende Bürgerkriegssituation oder eine Situation allgemeiner Gewalt, und auch in Abidjan hat sich die Lage normalisiert.</w:t>
      </w:r>
    </w:p>
    <w:p>
      <w:r>
        <w:rPr>
          <w:b/>
        </w:rPr>
        <w:t>E. 5.3.2</w:t>
      </w:r>
    </w:p>
    <w:p>
      <w:r>
        <w:t>Die Beschwerdeführerin ist eine junge, gesunde Frau, welche in C._______ (Süden) aufgewachsen ist und dort bis zuletzt gelebt hat. Sie hat eine gute Ausbildung genossen, als (...) gearbeitet und verfügt zweifelsohne über ein soziales Netzwerk. Entgegen ihren Angaben ist in Übereinstimmung mit der Vorinstanz davon auszugehen, dass sie dort auch über ein familiäres Beziehungsnetz verfügt. Eine nähere Überprüfung ist indes weder möglich noch erforderlich. Durch ihre unglaubhaften Angaben hat sie ihre Mitwirkungspflicht verletzt (Art. 8 AsylG). Der Untersuchungsgrundsatz findet seine Grenze an der Mitwirkungspflicht der Beschwerdeführerin. Infolge ihrer Pflichtverletzung sind die Asylbehörden gar nicht in der Lage, allfällige Wegweisungsvollzugshindernisse näher zu prüfen, die damit objektiv beweislos bleiben. Die Folgen der Beweislosigkeit hat die Beschwerdeführerin zu tragen.</w:t>
      </w:r>
    </w:p>
    <w:p>
      <w:r>
        <w:rPr>
          <w:b/>
        </w:rPr>
        <w:t>E. 5.4</w:t>
      </w:r>
    </w:p>
    <w:p>
      <w:r>
        <w:t>Der Vollzug ist schliesslich nach Art. 83 Abs. 2 AuG als möglich zu bezeichnen, weil es der Beschwerdeführerin obliegt, sich bei der zuständigen Vertretung des Heimatstaates die für eine Rückkehr notwendigen Reisedokumente zu beschaffen (vgl. BVGE 2008/34 E. 12 S. 513-515).</w:t>
      </w:r>
    </w:p>
    <w:p>
      <w:r>
        <w:rPr>
          <w:b/>
        </w:rPr>
        <w:t>E. 5.5</w:t>
      </w:r>
    </w:p>
    <w:p>
      <w:r>
        <w:t>Zusammenfassend ist festzuhalten, dass die Vorinstanz den Wegweisungsvollzug zu Recht als zulässig, zumutbar und möglich erachtet.</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Dem Ersuchen der Beschwerdeführerin um Gewährung der unentgeltlichen Prozessführung kann nicht entsprochen werden, weil ihre Begehren als aussichtslos zu gelten haben (Art. 65 Abs. 1 VwVG). Die Beschwerdeführerin hat daher die Kosten des vorliegenden Verfahrens zu tragen (Art. 63 Abs. 1 VwVG), die auf Fr. 600.- festzusetzen sind (Art. 1-3 des Reglements vom 21. Februar 2008 über die Kosten und Entschädigungen vor dem Bundesverwaltungsgericht [VGKE, SR 173.320.2]).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