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E-1772/2019 vom 27. Mai 2019</w:t>
      </w:r>
    </w:p>
    <w:p>
      <w:r>
        <w:t>Bundesverwaltungsgericht, 2019-05-27, DE</w:t>
      </w:r>
    </w:p>
    <w:p>
      <w:r>
        <w:rPr>
          <w:b/>
        </w:rPr>
        <w:t xml:space="preserve">Quelle: </w:t>
      </w:r>
      <w:r>
        <w:t>https://mcp.opencaselaw.ch/entscheid/bvger_E-1772_2019</w:t>
      </w:r>
    </w:p>
    <w:p>
      <w:r>
        <w:t>FR: TAF E-1772/2019 du 27 mai 2019</w:t>
      </w:r>
    </w:p>
    <w:p>
      <w:r>
        <w:t>IT: TAF E-1772/2019 del 27 maggio 2019</w:t>
      </w:r>
    </w:p>
    <w:p>
      <w:pPr>
        <w:pStyle w:val="Heading2"/>
      </w:pPr>
      <w:r>
        <w:t>Regeste</w:t>
      </w:r>
    </w:p>
    <w:p>
      <w:r>
        <w:t>Asyl und Wegweisung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3.2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5.1</w:t>
      </w:r>
    </w:p>
    <w:p>
      <w:r>
        <w:t>Die Vorinstanz begründet ihren Entscheid damit, dass Georgien über wirksame Polizei- und Justizorgane verfüge. Die georgischen Justizbehörden hätten in letzter Zeit Verfahren gegen hohe Beamte, die illegaler Tätigkeiten verdächtigt worden seien, aufgenommen. Es sei davon auszugehen, dass die georgischen Behörden auch gegenüber dem Beschwerdeführer schutzfähig und schutzwillig seien. Urheber der geltend gemachten Drohungen und Übergriffe seien Mitglieder der Partei "Georgischer Traum". Es handle sich demnach um Übergriffe durch Drittpersonen, welche von den georgischen Strafverfolgungsbehörden geahndet würden. Die gewaltsame Störung der Versammlung nach den Wahlen im November 2018 durch Dritte sei nicht eine gegen ihn persönlich gerichtete Verfolgungsmassnahme nach Art. 3 AsylG gewesen. Zudem hätte die Möglichkeit bestanden, sich bei Nichtreagieren der Polizei auf die Anzeige an eine höhere Instanz, an die Georgian Young Lawyers Association oder an die Public Defender zu wenden. Die Drohung durch Dritte, seine Beziehung mit einer Frau ihrem Ex-Ehemann zu melden, sei nicht asylrelevant. Zudem könne er bei einer konkreten Bedrohung bei der Polizei Anzeige erstatten. Insgesamt seien die Vorbringen nicht asylrelevant, weshalb auf eine vertiefte Prüfung der Glaubhaftigkeit verzichtet werden könne.</w:t>
      </w:r>
    </w:p>
    <w:p>
      <w:r>
        <w:rPr>
          <w:b/>
        </w:rPr>
        <w:t>E. 5.2</w:t>
      </w:r>
    </w:p>
    <w:p>
      <w:r>
        <w:t>Der Beschwerdeführer bringt vor, als aktives Mitglied der wichtigsten georgischen Oppositionspartei "Vereinte Nationale Bewegung" sei er Opfer mehrerer Übergriffe und Todesdrohungen durch Anhänger der Regierungspartei geworden. Die Strafverfolgungsbehörden von Georgien würden bei Gewalt gegen politische Gegner untätig bleiben. Seine Anzeigen hätten keinerlei Folgen gehabt. Die politischen Gegner hätten Aufnahmen von seiner Beziehung mit der Ex-Ehefrau eines Kriminellen; sie würden ihn damit erpressen. Sein Sohn sei wegen ihm in eine Schlägerei verstrickt und angeklagt worden. Wegen der hohen Wahrscheinlichkeit, Opfer eines Angriffs auf sein Leben zu werden, habe er aus Georgien flüchten müssen. Er sei überzeugt, bei einer Rückkehr getötet zu werden.</w:t>
      </w:r>
    </w:p>
    <w:p>
      <w:r>
        <w:rPr>
          <w:b/>
        </w:rPr>
        <w:t>E. 5.3</w:t>
      </w:r>
    </w:p>
    <w:p>
      <w:r>
        <w:t>Die Vorinstanz hat zu Recht festgestellt, dass die gewaltsame Auflösung der Versammlung wegen Wahlbetrugs Ende November 2018 nicht eine gegen den Beschwerdeführer gerichtete Verfolgungsmassnahme dargestellt hat. Folglich handelt es sich hierbei mangels der Gezieltheit nicht um eine asylrelevante Verfolgung. Der Beschwerdeführer nannte einen weiteren Übergriff, bei welchem ihm ein Ausweis zerrissen wurde. Dieser Vorfall richtete sich zwar gezielt gegen ihn, ihm fehlt es aber an der notwendigen Intensität, um als ernsthafter Nachteil nach Art. 3 AsylG eingestuft zu werden. Ebenso stellen die verbalen Drohungen mangels Intensität keine asylrelevanten Nachteile dar. Der Sohn des Beschwerdeführers wurde zwar in eine Schlägerei verwickelt und deswegen angeklagt. Die Verurteilung zu einer bedingten Strafe ist aus rechtsstaatlicher Sicht indes nicht zu beanstanden. Insgesamt stellen die vorgebrachten Behelligungen wegen der fehlenden Gezieltheit oder Intensität keine asylrelevanten Verfolgungsmassnahmen im Sinne von Art. 3 AsylG dar. Es stellt sich weiter die Frage, ob der Beschwerdeführer bei einer Rückkehr eine asylrelevante Verfolgung zu befürchten hätte. Die obigen, nicht asylrelevanten Vorfälle ereigneten sich insbesondere im Zeitraum der Wahlen vom November 2018. Es ist davon auszugehen, dass es nun, mehrere Monate nach den Wahlen, nicht zu einer intensivierten Verfolgung aufgrund der politischen Einstellung kommt. Dies gilt vor allem für den Beschwerdeführer; er ist zwar seit mehreren Jahren Mitglied der ENM, hatte aber innerhalb der Partei keine exponierte Position inne. Er hat lediglich vor den Wahlen Broschüren verteilt und an der Vorbereitung von Versammlungen mitgewirkt. Aufgrund dieser niederschwelligen politischen Aktivitäten ist nicht damit zu rechnen, dass der Beschwerdeführer bei einer Rückkehr nach Georgien einer künftigen asylrelevanten Verfolgung ausgesetzt wäre. Sofern er geltend macht, sich vor Racheakten des kriminellen Ex-Ehemannes seiner Freundin zu fürchten, ist darauf hinzuweisen, dass der georgische Staat bezüglich der allfälligen Verfolgung durch kriminelle Personen als schutzwillig und schutzfähig gilt (Urteil des BVGer D-6878/2016 vom 9. Oktober 2017 E. 6.5). Der Beschwerdeführer hat im Falle einer konkreten Bedrohungslage die Möglichkeit, sich an die georgischen Sicherheitsbehörden zu wenden. Demzufolge liegen auch keine konkreten Anhaltspunkte für eine begründete Furcht vor zukünftiger Verfolgung im Sinne von Art. 3 Abs. 1 AsylG vor. An dieser Schlussfolgerung vermögen auch die eingereichten Beweismittel nichts zu ändern. Sie belegen die Parteizugehörigkeit des Beschwerdeführers und die vorgebrachten Behelligungen, die als glaubhaft, aber nicht als asylrelevant eingestuft wurden. Zusammenfassend hat die Vorinstanz das Asylgesuch des Beschwerdeführers zu Recht abgelehnt.</w:t>
      </w:r>
    </w:p>
    <w:p>
      <w:r>
        <w:rPr>
          <w:b/>
        </w:rPr>
        <w:t>E. 6</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7.2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Georgien dort mit beachtlicher Wahrscheinlichkeit einer nach Art. 3 EMRK oder Art. 1 FoK verbotenen Strafe oder Behandlung ausgesetzt wäre. Der Vollzug der Wegweisung ist zulässig.</w:t>
      </w:r>
    </w:p>
    <w:p>
      <w:r>
        <w:rPr>
          <w:b/>
        </w:rPr>
        <w:t>E. 7.3</w:t>
      </w:r>
    </w:p>
    <w:p>
      <w:r>
        <w:t>Nach Art. 83 Abs. 4 AIG kann der Vollzug für Ausländerinnen und Ausländer unzumutbar sein, wenn sie im Heimat- oder Herkunftsstaat auf Grund von Situationen wie Krieg, Bürgerkrieg, allgemeiner Gewalt und medizinischer Notlage konkret gefährdet sind. In Georgien herrscht weder Krieg noch Bürgerkrieg und es liegt keine Situation allgemeiner Gewalt vor. In konstanter Praxis ist daher von der generellen Zumutbarkeit des Wegweisungsvollzugs nach Georgien auszugehen (vgl. Urteile des Bundesverwaltungsgerichts D-1160/2017 vom 19. Februar 2018 E. 8.4.2; E-18/2018 vom 11. Januar 2018 E. 8.4). Der Beschwerdeführer stammt aus dem Dorf B._______, C._______. Dort lebt er im nun ihm gehörenden Elternhaus und bewirtschaftet die familieneigenen Ländereien. Zudem weist er eine langjährige Arbeitserfahrung auf. Mit seinen erwachsenen Kindern und Geschwistern verfügt er in Georgien über ein tragfähiges Beziehungsnetz. Es ist davon auszugehen, dass ihm bei einer Rückkehr die wirtschaftliche Wiedereingliederung gelingen wird. Der Beschwerdeführer macht gesundheitliche Probleme (Bluthochdruck, Venenproblem, Ängste) geltend. Hierzu ist festzustellen, dass wegen einer medizinischen Notlage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Unzumutbarkeit liegt jedenfalls dann noch nicht vor, wenn im Heimat- oder Herkunftsstaat eine nicht dem schweizerischen Standard entsprechende medizinische Behandlung möglich ist (vgl. BVGE 2009/2 E. 9.3.2 m.w.H.). Die gesundheitlichen Probleme des Beschwerdeführers sind nicht als derart gravierend zu qualifizieren, als dass sie zu einer raschen und lebensgefährdenden Beeinträchtigung des Gesundheitszustandes führen würden. Im Übrigen verfügt Georgien über ein funktionierendes Gesundheitssystem und ein Sozialhilfeprogramm mit kostenloser Krankenversicherung für Personen unter der Armutsgrenze (vgl. Urteile des BVGer E-1825/2019 vom 2. Mai 2019 E. 9.3.2; E-1667/2019 vom 12. April 2019 E. 8.2.3). Wegen der Ängste war der Beschwerdeführer bereits in Georgien in Behandlung und es ist anzunehmen, dass er diese Behandlung, falls nötig, wiederaufnehmen kann. Der Blutdruck und die Venenprobleme sind in Georgien ebenfalls behandelbar. Der Vollzug der Wegweisung erweist sich demnach auch in individueller Hinsicht als zumutbar.</w:t>
      </w:r>
    </w:p>
    <w:p>
      <w:r>
        <w:rPr>
          <w:b/>
        </w:rPr>
        <w:t>E. 7.4</w:t>
      </w:r>
    </w:p>
    <w:p>
      <w:r>
        <w:t>Nach Art. 83 Abs. 2 AIG ist der Vollzug auch als möglich zu bezeichnen, weil es dem Beschwerdeführer obliegt, sich bei der zuständigen Vertretung seines Heimatstaats die für eine Rückkehr notwendigen Reisedokumente zu beschaffen (Art. 8 Abs. 4 AsylG; BVGE 2008/34 E. 12).</w:t>
      </w:r>
    </w:p>
    <w:p>
      <w:r>
        <w:rPr>
          <w:b/>
        </w:rPr>
        <w:t>E. 7.5</w:t>
      </w:r>
    </w:p>
    <w:p>
      <w:r>
        <w:t>Zusammenfassend hat die Vorinstanz den Wegweisungsvollzug zu Recht als zulässig, zumutbar und möglich bezeichnet. Eine Anordnung der vorläufigen Aufnahme fällt ausser Betracht (Art. 83 Abs. 1-4 AIG).</w:t>
      </w:r>
    </w:p>
    <w:p>
      <w:r>
        <w:rPr>
          <w:b/>
        </w:rPr>
        <w:t>E. 8.1</w:t>
      </w:r>
    </w:p>
    <w:p>
      <w:r>
        <w:t>Die gestellten Rechtsbegehren erweisen sich als aussichtslos, weshalb das Gesuch um unentgeltliche Prozessführung ungeachtet einer allfälligen prozessualen Bedürftigkeit abzuweisen ist (Art. 65 Abs. 1 VwVG).</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