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E-1766/2025 vom 20. Juni 2025</w:t>
      </w:r>
    </w:p>
    <w:p>
      <w:r>
        <w:t>Bundesverwaltungsgericht, 2025-06-20, FR</w:t>
      </w:r>
    </w:p>
    <w:p>
      <w:r>
        <w:rPr>
          <w:b/>
        </w:rPr>
        <w:t xml:space="preserve">Quelle: </w:t>
      </w:r>
      <w:r>
        <w:t>https://mcp.opencaselaw.ch/entscheid/bvger_E-1766_2025</w:t>
      </w:r>
    </w:p>
    <w:p>
      <w:r>
        <w:t>FR: TAF E-1766/2025 du 20 juin 2025</w:t>
      </w:r>
    </w:p>
    <w:p>
      <w:r>
        <w:t>IT: TAF E-1766/2025 del 20 giugno 2025</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19 août 2024, en tant qu’elle porte sur la modification des données personnelles de l’intéressé figurant dans SYMIC et contre laquelle ce dernier a recouru, satisfait en outre aux conditions de l'art. 5 PA et n'entre pas dans le champ d'exclusion de l'art. 32 LTAF.</w:t>
      </w:r>
    </w:p>
    <w:p>
      <w:r>
        <w:t>E-1766/2025 Page 6</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1.4</w:t>
      </w:r>
    </w:p>
    <w:p>
      <w:r>
        <w:t>En matière de protection des données, la procédure devant le Tribunal est régie par la PA (art. 41 al. 6 LPD).</w:t>
      </w:r>
    </w:p>
    <w:p>
      <w:r>
        <w:rPr>
          <w:b/>
        </w:rPr>
        <w:t>E. 1.5</w:t>
      </w:r>
    </w:p>
    <w:p>
      <w:r>
        <w:t>L’intéressé a qualité pour recourir (art. 48 al. 1 PA). Présenté dans la forme (art. 52 al. 1 PA) et le délai (art. 50 al. 1 PA)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Comme exposé, l’intéressé reproche au SEM d’avoir violé son devoir d’instruction en rendant sa décision sans avoir mené les investigations nécessaires à la détermination de son âge.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w:t>
      </w:r>
    </w:p>
    <w:p>
      <w:r>
        <w:t>E-1766/2025 Page 7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En l'occurrence, un examen du dossier révèle que le SEM a instruit la question de la date de naissance du recourant. Il a interrogé spécifiquement ce dernier à ce sujet et récolté des informations importantes sur son environnement dans son pays d'origine, sur son entourage familial, sur son éducation ainsi que sur son parcours de vie. Au regard des incertitudes concernant la date de naissance alléguée, il a en outre diligenté une expertise médico-légale visant à déterminer son âge, en accordant au recourant un droit d'être entendu sur les résultats de celle- ci de même que sur les aspects de son récit qu'il considérait invraisemblables. Aucun défaut d’instruction ne saurait ainsi être reproché à l’autorité intimée. Quoi qu’en dise l’intéressé, le fait que l’examen de sa dentition n’indique pas d’âge minimum n’est pas de nature à remettre en cause cette conclusion. De même, le fait que le SEM n’a pas mentionné le carnet de vaccination du recourant dans sa décision n’est pas décisif, cette pièce ne constituant pas un document d’identité et n’étant au demeurant produite que sous forme de copie – donc aisément falsifiable – de sorte qu’elle n’a guère de valeur probante, comme l’intéressé le reconnaît d’ailleurs lui-même (cf. mémoire de recours, p. 14).</w:t>
      </w:r>
    </w:p>
    <w:p>
      <w:r>
        <w:rPr>
          <w:b/>
        </w:rPr>
        <w:t>E. 2.3</w:t>
      </w:r>
    </w:p>
    <w:p>
      <w:r>
        <w:t>Dans ces conditions, il n’y a pas lieu d’annuler la décision querellée et de renvoyer la cause au SEM pour complément d’instruction, la conclusion en ce sens devant être rejetée.</w:t>
      </w:r>
    </w:p>
    <w:p>
      <w:r>
        <w:rPr>
          <w:b/>
        </w:rPr>
        <w:t>E. 3</w:t>
      </w:r>
    </w:p>
    <w:p>
      <w:r>
        <w:t>E-1766/2025 Page 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E-1766/2025 Page 9</w:t>
      </w:r>
    </w:p>
    <w:p>
      <w:r>
        <w:rPr>
          <w:b/>
        </w:rPr>
        <w:t>E. 4.1</w:t>
      </w:r>
    </w:p>
    <w:p>
      <w:r>
        <w:t>Le recourant soutient que le SEM se trompe dans son appréciation. Comme déjà dit, il est d'avis que la date de naissance inscrite dans SYMIC, à savoir le (…), n’est pas plus probable que celle qu'il allègue, soit le (…).</w:t>
      </w:r>
    </w:p>
    <w:p>
      <w:r>
        <w:rPr>
          <w:b/>
        </w:rPr>
        <w:t>E. 4.2</w:t>
      </w:r>
    </w:p>
    <w:p>
      <w:r>
        <w:t>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De son côté, le recourant n’apporte pas non plus la preuve de l’exactitude de la date de naissance du (…) dont il revendique l’inscription dans SYMIC. Il n’a produit aucun document d’identité ou de voyage susceptible d’établir son identité. A cet égard, la tazkira qui lui aurait été délivrée alors qu’il était âgé de (…) ans ne revêt qu'une faible force probante et ne suffit pas à établir sa date de naissance (cf. arrêt du Tribunal F-3518/2022 du 24 août 2022 consid. 3.3 et les réf. citées), étant encore souligné qu'une simple copie en a été produite. Les explications plutôt confuses et contradictoires de l’intéressé concernant les circonstances dans lesquelles ce document aurait été établi ne viennent pas en confirmer le sérieux. Le recourant a en effet expliqué avoir possédé une première tazkira, qui aurait été établie « il y a longtemps » (cf. procès-verbal de l’audition pour RMNA, pt. 1.06) pour les besoins de sa scolarité. Ce document aurait été détruit au cours d’une inondation de son village. Sa mère aurait dès lors entrepris des démarches pour le renouveler, obtenant ainsi le document présenté au SEM. Le recourant a néanmoins indiqué ignorer quand ces démarches avaient été effectuées et si sa nouvelle tazkira avait été établie avant ou après son départ du pays, ce qui, quoi qu’il en dise, paraît singulier. Il a ensuite affirmé que sa mère avait fait ces démarches « bien après son départ », précisant que l’inondation précitée avait eu lieu après son départ du pays. Ses déclarations sur ce point paraissent ainsi, à tout le moins, inconstantes. Il est par ailleurs troublant que ce document ait été (initialement) établi le (…), soit précisément le jour de ses (…) ans selon sa date de naissance alléguée. Enfin, la photographie figurant sur cette tazkira ne paraît pas être celle d’un enfant âgé de (…) ans ; l’explication selon laquelle il se serait agi d’un nouveau cliché utilisé au moment d’établir un duplicata de ce document, ce qui serait « une pratique courante reconnue en Afghanistan » (cf. mémoire de recours, p. 14) paraît singulière et n’est en rien étayée. Il ne s'agit cependant pas d'écarter purement et simplement ce document ; celui-ci, tout comme le carnet de vaccination déposé, ne constituent toutefois que de simples indices de l'âge du recourant. Il est</w:t>
      </w:r>
    </w:p>
    <w:p>
      <w:r>
        <w:t>E-1766/2025 Page 10 donc nécessaire de déterminer s'il existe d'autres éléments au dossier parlant en faveur de l'âge allégué par l'intéressé.</w:t>
      </w:r>
    </w:p>
    <w:p>
      <w:r>
        <w:rPr>
          <w:b/>
        </w:rPr>
        <w:t>E. 4.3</w:t>
      </w:r>
    </w:p>
    <w:p>
      <w:r>
        <w:t>A l’instar du SEM, le Tribunal considère que tel n'est pas le cas.</w:t>
      </w:r>
    </w:p>
    <w:p>
      <w:r>
        <w:rPr>
          <w:b/>
        </w:rPr>
        <w:t>E. 4.3.1</w:t>
      </w:r>
    </w:p>
    <w:p>
      <w:r>
        <w:t>Les explications de l’intéressé concernant la manière dont il aurait eu connaissance de sa date de naissance alléguée (le […]) sont pour le moins confuses, sinon contradictoires. Le recourant a d’abord indiqué l’avoir apprise par l’intermédiaire de sa mère lors d’un contact téléphonique douze jours avant son audition pour RMNA, soit autour du 10 novembre 2024. Il aurait auparavant ignoré tant sa date de naissance que son âge, expliquant à cet égard que ce n’est pas un sujet important en Afghanistan et qu’on n’en parle pas vraiment dans ce pays (cf. procès-verbal d’audition pour RMNA, pt. 106, p. 15). Au cours de la suite de cette audition, il a néanmoins été en mesure d’indiquer avoir été scolarisé de (…) à (…) ans et avoir quitté son pays à (…) ans, précisant encore que ses frères étaient âgés de (…) et (…) ans, ce qui paraît contredire sa précédente affirmation. L’explication au stade du recours (cf. mémoire de recours, p. 16 s.) selon laquelle il conviendrait à cet égard de distinguer les notions de date de naissance (qui n’aurait guère d’importance) et d’âge (qui en aurait) ne convainc pas, l’intéressé n’ayant pas lui-même opéré une telle distinction au cours de son audition pour RMNA. En outre, l’intéressé n’a cité sa date de naissance alléguée que selon le calendrier grégorien, déclarant ne pas la connaître selon le calendrier persan, si ce n’est qu’il serait né en (…), alors que sa mère – lors du contact téléphonique précité – la lui aurait indiquée dans les deux calendriers (cf. idem, p. 16). L’argument selon lequel il serait logique qu’il ne se soit souvenu de sa date de naissance que selon le calendrier grégorien, dès lors que c’était celle-ci qui lui était demandée au cours de son parcours migratoire (cf. mémoire de recours, p. 18), ne convainc pas totalement. En outre, et surtout, la date de naissance alléguée du (…) est déjà mentionnée sur la fiche de données personnelles que l’intéressée a remplie le 28 octobre 2024, soit avant l’appel téléphonique au cours duquel sa mère la lui aurait apprise. Placé face à cette incohérence, le recourant a, quoi qu’il en dise, proposé une nouvelle version des faits, indiquant que sa mère ne lui avait pas appris sa date de naissance lors de l’entretien téléphonique précité, mais à une date antérieure, alors qu’il se trouvait en Serbie.</w:t>
      </w:r>
    </w:p>
    <w:p>
      <w:r>
        <w:rPr>
          <w:b/>
        </w:rPr>
        <w:t>E. 4.3.2</w:t>
      </w:r>
    </w:p>
    <w:p>
      <w:r>
        <w:t>Il sied en outre de relever que l’intéressé a expressément admis avoir fourni aux gardes-frontières des informations erronées concernant son identité à son arrivée en Suisse ; il se serait en effet « trompé » en leur indiquant un autre nom de famille (« E._______ ») que le sien. Le</w:t>
      </w:r>
    </w:p>
    <w:p>
      <w:r>
        <w:t>E-1766/2025 Page 11 recourant a ajouté que les gardes-frontières ne lui avaient pas demandé sa date de naissance et qu’il ignorait pourquoi ceux-ci avaient retenu la date du (…) qui figure dans leur rapport, se limitant à déclarer qu’il ne parlait pas la langue et que l’interprète présent ne parlait pas bien anglais, ce qui ne convainc pas. Il y a ainsi tout lieu de penser que le recourant a lui-même indiqué aux gardes-frontière cette (nouvelle) date de naissance. Partant, quoi qu’en dise l’intéressé (cf. mémoire de recours, p. 22), celle-ci ne constitue pas un indice de sa minorité.</w:t>
      </w:r>
    </w:p>
    <w:p>
      <w:r>
        <w:rPr>
          <w:b/>
        </w:rPr>
        <w:t>E. 4.3.3</w:t>
      </w:r>
    </w:p>
    <w:p>
      <w:r>
        <w:t>Comme l’a retenu le SEM, les déclarations du recourant concernant son séjour en Autriche sont singulières. A tout le moins, contrairement à ce qu’affirme l’intéressé (cf. mémoire de recours, p. 20), son comportement dans ce pays ne saurait être considéré comme « typique d’un mineur ». Le recourant a en effet affirmé ne pas y avoir « vraiment fait la demande d’asile » (cf. procès-verbal de l’audition pour RMNA, pt. 2.06, p. 9), bien que les autorités de ce pays aient enregistré une demande d’asile le concernant, mais avoir seulement été contrôlé à la gare par des policiers qui auraient prélevé ses empreintes digitales. Il leur aurait fait savoir qu’il souhaitait se rendre en Suisse, ce à quoi ils auraient répondu : « D’accord, vas-y ». L’intéressé serait néanmoins resté deux ou trois jours dans un centre d’accueil en Autriche, qu’il aurait quitté avant que les autorités ne lui délivrent de document.</w:t>
      </w:r>
    </w:p>
    <w:p>
      <w:r>
        <w:rPr>
          <w:b/>
        </w:rPr>
        <w:t>E. 4.3.4</w:t>
      </w:r>
    </w:p>
    <w:p>
      <w:r>
        <w:t>Contrairement à ce que soutient l’intéressé au stade du recours (cf. mémoire de recours, p. 18 s.), le fait qu’il aurait été attristé par la disparition de son père, que sa mère se serait inquiétée pour lui, qu’il n’aurait jamais travaillé et qu’il soit resté vague sur certains détails remontant à son enfance ne peuvent pas être considérés comme des indices de sa minorité.</w:t>
      </w:r>
    </w:p>
    <w:p>
      <w:r>
        <w:rPr>
          <w:b/>
        </w:rPr>
        <w:t>E. 4.3.5</w:t>
      </w:r>
    </w:p>
    <w:p>
      <w:r>
        <w:t>Enfin, si les résultats de l’expertise médico-légale – au demeurant incomplète – ne permettent pas de se prononcer sur une éventuelle minorité ou majorité (cf. à cet égard, les considérations du Tribunal dans l’ATAF 2018 VI/3, consid. 4.2.2) et n’infirment pas la date de naissance et l’âge allégués par l’intéressé, ils ne remettent pas non plus en cause l’âge retenu par le SEM. On observera notamment que l’âge moyen constaté se situe au-dessus de (…) ans (entre (…) et (…) ans) et que l’examen de la dentition, bien que ne mentionnant pas d’âge minimum, met en évidence une probabilité élevée que le recourant ait dépassé sa (…) année et conclut à un âge moyen de (…) ans.</w:t>
      </w:r>
    </w:p>
    <w:p>
      <w:r>
        <w:t>E-1766/2025 Page 12</w:t>
      </w:r>
    </w:p>
    <w:p>
      <w:r>
        <w:rPr>
          <w:b/>
        </w:rPr>
        <w:t>E. 4.4</w:t>
      </w:r>
    </w:p>
    <w:p>
      <w:r>
        <w:t>Les éléments relevés ci-dessus, pris dans leur globalité, permettent de remettre en cause la date de naissance alléguée par le recourant. Même en faisant preuve de l'indulgence requise face à une jeune personne provenant d'un pays aux usages particuliers et ayant entrepris un parcours de migration, le Tribunal estime en effet que le caractère confus et incohérent des propos du recourant révèle plutôt une volonté de dissimuler des indications relatives à son âge. Sur le vu de ce qui précède, la date de naissance fictive du (…) retenue par le SEM apparaît plus plausible que celle du (…). Autrement dit, celle-là est selon toute vraisemblance plus proche que celle-ci de sa véritable date de naissance.</w:t>
      </w:r>
    </w:p>
    <w:p>
      <w:r>
        <w:rPr>
          <w:b/>
        </w:rPr>
        <w:t>E. 4.5</w:t>
      </w:r>
    </w:p>
    <w:p>
      <w:r>
        <w:t>Partant, rien n’indique par ailleurs que l’inscription dans SYMIC de la date de naissance du (…) ait été contraire à l’intérêt supérieur de l’intéressé au sens de l'art. 3 al. 1 de de la Convention relative aux droits de l'enfant du 20 novembre 1989 (CDE ; RS 0.170), comme celui-ci le soutient.</w:t>
      </w:r>
    </w:p>
    <w:p>
      <w:r>
        <w:rPr>
          <w:b/>
        </w:rPr>
        <w:t>E. 5.1</w:t>
      </w:r>
    </w:p>
    <w:p>
      <w:r>
        <w:t>Compte tenu de ce qui précède, il ne se justifie pas de procéder à la rectification demandée, le SEM ayant retenu à raison, comme date de naissance principale du recourant, le (…). Le caractère litigieux de la donnée inscrite figure déjà dans SYMIC.</w:t>
      </w:r>
    </w:p>
    <w:p>
      <w:r>
        <w:rPr>
          <w:b/>
        </w:rPr>
        <w:t>E. 5.2</w:t>
      </w:r>
    </w:p>
    <w:p>
      <w:r>
        <w:t>Par conséquent, le recours doit être rejeté.</w:t>
      </w:r>
    </w:p>
    <w:p>
      <w:r>
        <w:rPr>
          <w:b/>
        </w:rPr>
        <w:t>E. 6</w:t>
      </w:r>
    </w:p>
    <w:p>
      <w:r>
        <w:t>Dans la mesure où il est immédiatement statué sur le fond, les demandes de dispense de l’avance des frais de procédure et de restitution de l’effet suspensif deviennent sans objet.</w:t>
      </w:r>
    </w:p>
    <w:p>
      <w:r>
        <w:rPr>
          <w:b/>
        </w:rPr>
        <w:t>E. 7.1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n'étaient toutefois pas d'emblée vouées à l'échec et l'intéressé peut être tenu pour indigent, de sorte que la demande d'assistance judiciaire partielle doit être admise (art. 65 al. 1 PA). Il n'est donc pas perçu de frais de procédure.</w:t>
      </w:r>
    </w:p>
    <w:p>
      <w:r>
        <w:t>E-1766/2025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