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E-1766/2021 vom 28. April 2021</w:t>
      </w:r>
    </w:p>
    <w:p>
      <w:r>
        <w:t>Bundesverwaltungsgericht, 2021-04-28, DE</w:t>
      </w:r>
    </w:p>
    <w:p>
      <w:r>
        <w:rPr>
          <w:b/>
        </w:rPr>
        <w:t xml:space="preserve">Quelle: </w:t>
      </w:r>
      <w:r>
        <w:t>https://mcp.opencaselaw.ch/entscheid/bvger_E-1766_2021</w:t>
      </w:r>
    </w:p>
    <w:p>
      <w:r>
        <w:t>FR: TAF E-1766/2021 du 28 avril 2021</w:t>
      </w:r>
    </w:p>
    <w:p>
      <w:r>
        <w:t>IT: TAF E-1766/2021 del 28 aprile 2021</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i.V.m. Art. 10 der Verordnung über Massnahmen im Asylbereich im Zusammenhang mit dem Coronavirus vom 1. April 2020 [Covid-19-Verordnung Asyl, SR 142.318]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den Anforderungen an die Flüchtlingseigenschaft gemäss Art. 3 AsylG nicht stand. Unabhängig von der Glaubhaftigkeit der geltend gemachten Verurteilung sei diese im Zusammenhang mit dem Vorwurf der Ausstellung eines (...) beziehungsweise der (...), also einem gemeinrechtlichen Delikt, erfolgt. Die entsprechenden von den algerischen Behörden gegen den Beschwerdeführer ergriffenen Untersuchungs- und Strafmassnahmen seien aus rechtsstaatlich legitimen Gründen erfolgt und diesen sei keine flüchtlingsrechtlich relevante Verfolgungsmotivation im Sinne von Art. 3 AsylG zugrunde gelegen. Die behördliche Aufarbeitung eines gemeinrechtlichen Delikts sei nur asylrelevant, falls mit einer politisch motivierten übermässigen Bestrafung zu rechnen sei (sogenannter Politmalus). Den Akten könnten indes keine konkreten Hinweise dafür entnommen werden. Der Standpunkt des Beschwerdeführers sei im Strafverfahren von den algerischen Behörden berücksichtigt worden, zumal er erstinstanzlich freigesprochen worden sei. Zudem habe er sich gemäss eigenen Angaben im Strafverfahren durch einen von ihm verpflichteten Anwalt vertreten lassen und auch die Möglichkeit erhalten, eine Anzeige gegen die Gegenpartei zu erstatten. Es würden keine Hinweise vorliegen, wonach die algerischen Behörden ihrer gebotenen Dienstpflicht nicht nachgekommen seien. Sein Vorbringen, die Gegenpartei habe vor dem zweitinstanzlichen Gericht nur obsiegt, weil sie Schmiergeld bezahlt habe, stütze sich nur auf Mutmassungen des Beschwerdeführers ab. An der fehlenden flüchtlingsrechtlichen Relevanz vermögen auch die eingereichten Beweismittel nichts zu ändern, womit in antizipierter Beweiswürdigung auf das Abwarten der Originale und deren Übersetzungen verzichtet werden könne. Das SEM gehe von funktionierenden Behörden in Algerien aus, weshalb es dem Beschwerdeführer offenstehe, diese um Schutz zu ersuchen, sollten sich er oder seine Familie durch B._______ weiterhin bedroht fühlen. Schliesslich seien die geltend gemachten schwierigen Lebensbedingungen Folge der wirtschaftlichen und sozialen Lage in Algerien und demnach ebenfalls nicht asylrelevant.</w:t>
      </w:r>
    </w:p>
    <w:p>
      <w:r>
        <w:rPr>
          <w:b/>
        </w:rPr>
        <w:t>E. 5.2</w:t>
      </w:r>
    </w:p>
    <w:p>
      <w:r>
        <w:t>In der Rechtmitteleingabe rügt der Beschwerdeführer, die Vorinstanz habe ihn zu Unrecht nicht als Flüchtling anerkannt. Seine Vorbringen seien flüchtlingsrechtlich relevant im Sinne von Art. 3 AsylG. Er sei zu Unrecht zu einer Freiheitsstrafe von zwei Jahren und einer Busse verurteilt worden. Bei einer Rückkehr werde er umgehend inhaftiert, womit ihm unmenschliche Behandlung oder Folter drohe. Obwohl seine Rechtvertreterin anlässlich der Anhörung die Vorinstanz um Ansetzung einer Frist gebeten habe, um die Originale der Gerichtsdokumente zu beschaffen, habe die Vorinstanz bereits kurze Zeit später einen Entscheid gefällt. Da er sein Asylgesuch im Wesentlichen mit der erfolgten Verurteilung begründe, hätte die Vorinstanz die Angaben in den Urteilen mit seinen Aussagen vergleichen können. Er und seine Familie seien von B._______ bedroht worden, weshalb seine Ehefrau und die Kinder mittlerweile umgezogen seien.</w:t>
      </w:r>
    </w:p>
    <w:p>
      <w:r>
        <w:rPr>
          <w:b/>
        </w:rPr>
        <w:t>E. 5.3</w:t>
      </w:r>
    </w:p>
    <w:p>
      <w:r>
        <w:t>Die vorinstanzlichen Erwägungen sind nicht zu beanstanden. In der angefochtenen Verfügung wird einlässlich dargelegt, aus welchen Gründen der Beschwerdeführer die Voraussetzungen zur Anerkennung als Flüchtling nicht erfüllt. Mit der Vorinstanz ist insbesondere festzustellen, dass die gegen den Beschwerdeführer ergriffenen behördlichen Massnahmen im Zusammenhang mit der Untersuchung einer mutmasslichen Dokumentenfälschung nicht aus einem Motiv im Sinne von Art. 3 AsylG erfolgten. Aus den Akten ist auch nicht ersichtlich ist, inwiefern der Beschwerdeführer mit einem sogenannten Politmalus rechnen müsste (vgl. dazu BVGE 2014/28). Soweit der Beschwerdeführer in der Rechtsmitteleingabe vorbringt, die Vorinstanz habe ihm keine Frist zur Einreichung der Originale der Gerichtsurteile angesetzt, ist festzuhalten, dass die Vorinstanz unabhängig des Vorliegens dieser Dokumente im Original die flüchtlingsrechtliche Relevanz der Vorbringen - gestützt auf die vorangegangenen Ausführungen auch zu Recht - verneinte. Ein Vergleich der Angaben in den Urteilen mit den Aussagen des Beschwerdeführers drängt sich vor diesem Hintergrund nicht auf. Sodann sind die Urteile gemäss Angaben des Beschwerdeführers im Jahr 2019 ergangen, womit er schon lange im Besitz der Originale sein sollte und diese entsprechend bereits im vorinstanzlichen Verfahren oder spätestens auf Beschwerdeebene hätte einreichen können. Schliesslich führte die Vorinstanz zutreffend aus, der Beschwerdeführer könne sich im Falle einer allfälligen Bedrohung durch B._______ an die algerischen Behörden wenden, zumal von deren grundsätzlicher Schutzfähigkeit und -willigkeit auszugehen ist (vgl. statt vieler Urteil des BVGer E-5977/2020 vom 17. März 2021 E. 6.2). Um Wiederholungen zu vermeiden, kann auf die weiteren Ausführungen in der angefochtenen Verfügung verwiesen werden. Demnach hat die Vorinstanz die Flüchtlingseigenschaft des Beschwerdeführers zu Recht verneint und das Asylgesuch abgewiesen.</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Das Prinzip des flüchtlingsrechtlichen Non-Refoulement schützt nur Personen, die die Flüchtlingseigenschaft erfüllen. Die Vorinstanz führte zutreffend aus, da es dem Beschwerdeführer nicht gelungen sei, eine asylrechtlich erhebliche Gefährdung nachzuweisen oder glaubhaft zu machen, könne der in Art. 5 AsylG verankerte Grundsatz der Nichtrückschiebung im vorliegenden Verfahren keine Anwendung finden. Eine Rückkehr des Beschwerdeführers nach Algerien ist demnach unter dem Aspekt von Art. 5 AsylG rechtmässig. Sodann ergeben sich weder aus den Aussagen des Beschwerdeführers noch aus den Akten Anhaltspunkte dafür, dass er für den Fall einer Ausschaffung nach Algerien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Entgegen den Ausführungen des Beschwerdeführers in der Rechtmitteleingabe bestehen keine hinreichenden Anhaltspunkte für eine ernsthafte und konkrete Gefährdung im Sinne von Art. 3 EMRK. Auch die allgemeine Menschenrechtssituation in Algerien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7.5.1</w:t>
      </w:r>
    </w:p>
    <w:p>
      <w:r>
        <w:t>Zur Zumutbarkeit des Vollzugs der Wegweisung führte die Vorinstanz in der angefochtenen Verfügung aus, weder die in Algerien herrschende politische Situation noch andere Gründe würden gegen eine Rückkehr sprechen. Der Beschwerdeführer sei gemäss eigenen Angaben gesund und verfüge mit seinen zahlreichen Verwandten über ein Beziehungsnetz in Algerien, welches ihn bei der Wiedereingliederung unterstützen könne. Er habe eine Schulbildung genossen und verfüge über langjährige Berufserfahrung. Der Vollzug der Wegweisung sei demnach zumutbar.</w:t>
      </w:r>
    </w:p>
    <w:p>
      <w:r>
        <w:rPr>
          <w:b/>
        </w:rPr>
        <w:t>E. 7.5.2</w:t>
      </w:r>
    </w:p>
    <w:p>
      <w:r>
        <w:t>Das Gericht schliesst sich vollumfänglich den zutreffenden Ausführungen der Vorinstanz zur Zumutbarkeit des Wegweisungsvollzuges an. Soweit der Beschwerdeführer sinngemäss eine Verletzung des Untersuchungsgrundsatzes geltend macht, indem die Vorinstanz die Zulässigkeit und Zumutbarkeit des Wegweisungsvollzuges nur allgemein geprüft habe, erweist sich diese Rüge unter Verweis auf die vorangegangenen Erwägungen als unbegründet. Für eine Rückweisung der Sache an die Vorinstanz besteht kein Anlass.</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Prozessführung. Aufgrund der vorstehenden Erwägungen ergibt sich, dass seine Begehren als aussichtlos zu gelten haben, womit eine der kumulativ zu erfüllenden Voraussetzungen gemäss Art. 65 Abs. 1 VwVG nicht gegeben ist, weshalb das Gesuch abzuweisen ist.</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9.3</w:t>
      </w:r>
    </w:p>
    <w:p>
      <w:r>
        <w:t>Mit dem vorliegenden Urteil erweist sich der Antrag auf Verzicht auf die Erhebung eines Kostenvorschusses als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