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E-1759/2020 vom 8. April 2020</w:t>
      </w:r>
    </w:p>
    <w:p>
      <w:r>
        <w:t>Bundesverwaltungsgericht, 2020-04-08, DE</w:t>
      </w:r>
    </w:p>
    <w:p>
      <w:r>
        <w:rPr>
          <w:b/>
        </w:rPr>
        <w:t xml:space="preserve">Quelle: </w:t>
      </w:r>
      <w:r>
        <w:t>https://mcp.opencaselaw.ch/entscheid/bvger_E-1759_2020</w:t>
      </w:r>
    </w:p>
    <w:p>
      <w:r>
        <w:t>FR: TAF E-1759/2020 du 8 avril 2020</w:t>
      </w:r>
    </w:p>
    <w:p>
      <w:r>
        <w:t>IT: TAF E-1759/2020 del 8 aprile 2020</w:t>
      </w:r>
    </w:p>
    <w:p>
      <w:pPr>
        <w:pStyle w:val="Heading2"/>
      </w:pPr>
      <w:r>
        <w:t>Regeste</w:t>
      </w:r>
    </w:p>
    <w:p>
      <w:r>
        <w:t>Verwaltungs- und Verwaltungsgerichtsverfahren des Bundes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In der vorliegenden Eingabe wird der Revisionsgrund der versehentlichen Nichtberücksichtigung von in den Akten liegenden erheblichen Tatsachen geltend gemacht (Art. 121 Bst. d BGG).</w:t>
      </w:r>
    </w:p>
    <w:p>
      <w:r>
        <w:rPr>
          <w:b/>
        </w:rPr>
        <w:t>E. 2.3</w:t>
      </w:r>
    </w:p>
    <w:p>
      <w:r>
        <w:t>Die Verletzung von Verfahrensvorschriften im Sinne des Art. 121 BGG ist innerhalb von 30 Tagen nach der Eröffnung der vollständigen Ausfertigung des Entscheids geltend zu machen (Art. 124 Abs. 1 Bst. b BGG). Das Urteil E-6654/2017 datiert vom 23. März 2020, weshalb das Revisionsbegehren vom 27. März 2020 in jedem Fall rechtzeitig ist. Auf das frist- und formgerecht eingereichte Revisionsgesuch ist deshalb einzutreten.</w:t>
      </w:r>
    </w:p>
    <w:p>
      <w:r>
        <w:rPr>
          <w:b/>
        </w:rPr>
        <w:t>E. 3</w:t>
      </w:r>
    </w:p>
    <w:p>
      <w:r>
        <w:t>Zu prüfen ist, ob das Spruchgremium im Verfahren E-6654/2017 eine in den Akten liegende erhebliche Tatsache versehentlich nicht berücksichtigt hat, im Sinne des Art. 121 Bst. d BGG.</w:t>
      </w:r>
    </w:p>
    <w:p>
      <w:r>
        <w:rPr>
          <w:b/>
        </w:rPr>
        <w:t>E. 4.1</w:t>
      </w:r>
    </w:p>
    <w:p>
      <w:r>
        <w:t>Nach Prüfung der Beschwerdeakten E-6654/2017 ist festzustellen, dass sich in den Akten als Act. 22 die Honorarrechnung vom 3. März 2020 befindet; die Eingabe vom 3. März 2020 ging am 4. März 2020 beim Gericht ein.</w:t>
      </w:r>
    </w:p>
    <w:p>
      <w:r>
        <w:rPr>
          <w:b/>
        </w:rPr>
        <w:t>E. 4.2</w:t>
      </w:r>
    </w:p>
    <w:p>
      <w:r>
        <w:t>Das Spruchgremium hat diese Kostennote nicht berücksichtigt und in der Folge zur Festsetzung der Parteientschädigung von Amtes wegen den Aufwand geschätzt. Somit hat es übersehen, dass die Rechtsvertreterin des Beschwerdeführers am 3. März 2020 eine Kostennote eingereicht hatte, die auch in den Akten abgelegt wurde (vgl. BeschwerdeaktenE-6654/2017 Ziff. 22). Deshalb ist das Urteil des Bundesverwaltungsgerichts E-6654/2017 in Bezug auf seine Dispositiv-Ziffer 4 fehlerhaft zustande gekommen.</w:t>
      </w:r>
    </w:p>
    <w:p>
      <w:r>
        <w:rPr>
          <w:b/>
        </w:rPr>
        <w:t>E. 4.3</w:t>
      </w:r>
    </w:p>
    <w:p>
      <w:r>
        <w:t>Der Revisionsgrund des Art. 121 Bst. d BGG ist erfüllt, das Urteil ist in diesem Punkt zu revidieren, und die Dispositiv-Ziffer 4 ist aufzuheben.</w:t>
      </w:r>
    </w:p>
    <w:p>
      <w:r>
        <w:rPr>
          <w:b/>
        </w:rPr>
        <w:t>E. 5.1</w:t>
      </w:r>
    </w:p>
    <w:p>
      <w:r>
        <w:t>Die Parteientschädigung für das Beschwerdeverfahren ist im Rahmen des vorliegenden Revisionsverfahrens auf Grundlage der Kostennote vom 3. März 2020 und der Vorakten des Verfahrens E-6654/2017 neu zu berechnen.</w:t>
      </w:r>
    </w:p>
    <w:p>
      <w:r>
        <w:rPr>
          <w:b/>
        </w:rPr>
        <w:t>E. 5.2</w:t>
      </w:r>
    </w:p>
    <w:p>
      <w:r>
        <w:t>Wie aus der Kostennote vom 3. März 2020 ersichtlich wird, erwies sich das Verfahren als komplex, neben der Beschwerdeeingabe musste die Rechtsvertreterin unter anderem zweimal im Rahmen des Schriftenwechsels Stellung nehmen (am 17. Januar 2018 sowie am 10. April 2019), sie tätigte weitere Abklärungen betreffend den medizinischen Sachverhalt (am 27. Juni 2018) sowie die Lage in Bulgarien (Anfragen an das Bulgarische Helsinki Komitee vom 11. Juli 2018, Bearbeitung bulgarischer Dokumente am 21. Januar 2019) und verfasste schliesslich am 3. März 2020 auch eine Stellungnahme betreffend die neue Praxis des Bundesverwaltungsgerichts zu Dublin-Verfahren mit Bulgarien und deren Auswirkungen auf den Fall des Gesuchstellers. Der ausgewiesene Aufwand von 21 Stunden rechtfertigt sich unter diesen Umständen. Die Rechtsvertreterin legt in der Kostennote einen Stundenansatz von Fr. 194.- zugrunde, was angemessen ist und in Einklang mit den Vorgaben des Reglements vom 21. Februar 2008 über die Kosten und Entschädigungen vor dem Bundesverwaltungsgericht (VGKE, SR 173.320.2) steht, dort insbesondere Art. 10 Abs. 2 VGKE.</w:t>
      </w:r>
    </w:p>
    <w:p>
      <w:r>
        <w:rPr>
          <w:b/>
        </w:rPr>
        <w:t>E. 5.3</w:t>
      </w:r>
    </w:p>
    <w:p>
      <w:r>
        <w:t>Die Auslagen wurden in der Kostennote vom 3. März 2020 zwar lediglich pauschal mit Fr. 54.- ausgewiesen; sie erweisen sich indessen für das Verfahren mit mehreren schriftlichen Eingaben ans Bundesverwaltungsgericht ebenfalls als angemessen (Kopien, Telefonspesen u.ä.), und auf die Nachforderung einer spezifizierten Auflistung (das Bundesverwaltungsgericht erstattet praxisgemäss keine Pauschalen, sondern nur die effektiven Auslagen) kann verzichtet werden.</w:t>
      </w:r>
    </w:p>
    <w:p>
      <w:r>
        <w:rPr>
          <w:b/>
        </w:rPr>
        <w:t>E. 5.4</w:t>
      </w:r>
    </w:p>
    <w:p>
      <w:r>
        <w:t>Insgesamt beträgt die dem Gesuchsteller für das Verfahren E-6654/2017 zustehende Parteientschädigung Fr. 4'128.-. Die Vorinstanz ist anzuweisen, dem Gesuchsteller diesen Betrag - unter Abzug des entsprechenden Betrags, falls das SEM die im Urteil vom 23. März 2020 festgesetzte Parteientschädigung bereits ausgerichtet haben sollte - auszurichten.</w:t>
      </w:r>
    </w:p>
    <w:p>
      <w:r>
        <w:rPr>
          <w:b/>
        </w:rPr>
        <w:t>E. 6.1</w:t>
      </w:r>
    </w:p>
    <w:p>
      <w:r>
        <w:t>Bei diesem Ausgang des Revisionsverfahrens sind keine Kosten zu erheben (Art. 63 Abs. 1 und 2 VwVG). Das Gesuch um Gewährung der unentgeltlichen Prozessführung für das Revisionsverfahren wird damit obsolet. Angesichts des Ergehens des vorliegenden Urteils ist ferner auch das Gesuch um Verzicht auf die Erhebung eines Kostenvorschusses gegenstandslos.</w:t>
      </w:r>
    </w:p>
    <w:p>
      <w:r>
        <w:rPr>
          <w:b/>
        </w:rPr>
        <w:t>E. 6.2</w:t>
      </w:r>
    </w:p>
    <w:p>
      <w:r>
        <w:t>Dem vertretenen Gesuchsteller ist angesichts seines Obsiegens in Anwendung von Art. 64 VwVG und Art. 7 Abs. 1 VGKE eine Entschädigung für die ihm notwendigerweise erwachsenen Parteikosten zuzusprechen.</w:t>
      </w:r>
    </w:p>
    <w:p>
      <w:r>
        <w:rPr>
          <w:b/>
        </w:rPr>
        <w:t>E. 6.3</w:t>
      </w:r>
    </w:p>
    <w:p>
      <w:r>
        <w:t>Es wurde für das Revisionsverfahren keine Kostennote zu den Akten gereicht, weshalb die notwendigen Parteikosten aufgrund der Akten zu bestimmen sind (Art. 14 Abs. 2 in fine VGKE). Die vom Bundesverwaltungsgericht auszurichtende Parteientschädigung für das Revisionsverfahren wird in Anwendung der genannten Bestimmungen und unter Berücksichtigung der massgeblichen Bemessungsfaktoren demnach von Amtes wegen auf insgesamt Fr. 720.-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