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E-1750/2018 vom 8. Mai 2018</w:t>
      </w:r>
    </w:p>
    <w:p>
      <w:r>
        <w:t>Bundesverwaltungsgericht, 2018-05-08, DE</w:t>
      </w:r>
    </w:p>
    <w:p>
      <w:r>
        <w:rPr>
          <w:b/>
        </w:rPr>
        <w:t xml:space="preserve">Quelle: </w:t>
      </w:r>
      <w:r>
        <w:t>https://mcp.opencaselaw.ch/entscheid/bvger_E-1750_2018</w:t>
      </w:r>
    </w:p>
    <w:p>
      <w:r>
        <w:t>FR: TAF E-1750/2018 du 8 mai 2018</w:t>
      </w:r>
    </w:p>
    <w:p>
      <w:r>
        <w:t>IT: TAF E-1750/2018 del 8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mit Ausnahme der nachfolgenden Ausführungen, einzutreten. Der Beschwerde kommt von Gesetzes wegen aufschiebende Wirkung zu (vgl. Art. 42 AsylG und Art. 55 VwVG) und die Vorinstanz hat diese auch nicht entzogen. Auf den diesbezüglichen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das SEM an, dass den Aussagen der Beschwerdeführerin keinerlei Hinweise entnommen werden könnten, wonach die geltend gemachte Verfolgung auf einem der in Art. 3 AsylG erwähnten Gründe beruhe. Bei der vorgebrachten Bedrohung handle es sich um eine private Angelegenheit. Es sei, in Anlehnung an die bisherige Praxis des BVGer (Urteil D-1068/2012 vom 30. April 2012 E. 6.3), grundsätzlich davon auszugehen, dass die mongolischen Sicherheitsbehörden fähig und willens seien, die Beschwerdeführenden vor Übergriffen durch Dritte zu schützen. Zudem habe der Bundesrat mit Beschluss vom 28. Juni 2000 die Mongolei als verfolgungssicheren Staat im Sinne von Art. 6a Abs. 2 Bst. a AsylG bezeichnet (Safe Country). Voraussetzung dafür sei ein funktionierendes Polizei- und Justizsystem. Die Beschwerdeführerin habe sich bereits einmal an die Polizei gewandt, welche daraufhin (...) mitgenommen habe. Danach sei die Situation jedoch schlimmer geworden und die Beschwerdeführerin habe die Polizei nicht mehr kontaktiert. Der Zugang zu den polizeilichen Behörden sei jedoch offensichtlich gewährleistet und durch ihr Handeln habe die Polizei ihren Schutzwillen bekräftigt. Es sei deshalb davon auszugehen, dass die Polizei den Beschwerdeführenden auch in Zukunft Schutz bieten und allfällige Verbrechen ahnden würde. Auch bestünden keine konkreten Hinweise, dass der Beschwerdeführerin bei einer Rückkehr betreffend des Todes ihres Ehemannes eine Inhaftierung drohen würde. Es sei von der Gerichtsmedizin bestätigt worden, dass es sich bei der Todesursache um (...) gehandelt habe. Zudem fehle es an einem in zeitlicher und sachlicher Hinsicht genügend engen Kausalzusammenhang zwischen den Schwierigkeiten mit ihrem ehemaligen Lebensgefährten, welchen sie seit ihrer Rückkehr nach E._______ im Jahre 2012 nicht mehr gesehen habe, und ihrer Ausreise (...) 2016. Dieses Vorbringen scheine demnach nicht ursächlich für ihre Ausreise gewesen zu sein. Schliesslich hätten sie von innerstaatlichen Fluchtalternativen Gebrauch machen und sich durch einen Schul- beziehungsweise einen Wohnortswechsel den geltend gemachten Verfolgungsmassnahmen entziehen können.</w:t>
      </w:r>
    </w:p>
    <w:p>
      <w:r>
        <w:rPr>
          <w:b/>
        </w:rPr>
        <w:t>E. 5.2</w:t>
      </w:r>
    </w:p>
    <w:p>
      <w:r>
        <w:t>In Ihrer Rechtsmitteleingabe machen die Beschwerdeführenden geltend, dass der mongolische Staat entgegen der Annahme der Vorinstanz weder schutzfähig noch -willig sei. Die Beschwerdeführerin habe sich, wie in der Anhörung zu Protokoll gegeben, mehrmals an die Polizei gewandt mit der Bitte um Schutz vor der Familie des verstorbenen Ehemannes. Diese habe sie jedoch nur zweimal empfangen und sich danach geweigert, ihr Anliegen anzuhören. Die Polizei habe somit den effektiven Schutz abgelehnt. Weiter habe das SEM betreffend der Möglichkeit der innerstaatlichen Fluchtalternative nicht berücksichtigt, dass es für die Beschwerdeführerin als alleinerziehende und verwitwete Frau trotz guter Schulbildung nicht möglich sei, ausserhalb von E._______ eine existenzsichernde Arbeitsstelle zu finden. Schliesslich müsse sie sich dringend einer Operation ihres Knies unterziehen. Auch der Beschwerdeführer möchte seine (...) in der Schweiz operieren lassen. Die aufschiebende Wirkung sei deshalb zu gewähren und von der Rückschaffung abzusehen, damit die entsprechenden Eingriffe durchgeführt werden können. Als Beweismittel reichte die Beschwerdeführerin ein Aufgebot zur radiologischen Untersuchung ihres Knies des Kantonsspitals H._______ vom 20. März 2018 zu den Akten.</w:t>
      </w:r>
    </w:p>
    <w:p>
      <w:r>
        <w:rPr>
          <w:b/>
        </w:rPr>
        <w:t>E. 6.1</w:t>
      </w:r>
    </w:p>
    <w:p>
      <w:r>
        <w:t>Die Vorinstanz ist in ihren Erwägungen zur zutreffenden Erkenntnis gelangt, die Vorbringen der Beschwerdeführenden würden den Anforderungen an die Asylrelevanz im Sinne von Art. 3 AsylG nicht genügen. Auf die betreffenden Erwägungen der Vorinstanz gemäss angefochtener Verfügung und Zusammenfassung in E. 5.1 kann mit den nachfolgenden Ergänzungen verwiesen werden. Der Inhalt der Beschwerde führt zu keiner anderen Betrachtungsweise.</w:t>
      </w:r>
    </w:p>
    <w:p>
      <w:r>
        <w:rPr>
          <w:b/>
        </w:rPr>
        <w:t>E. 6.2</w:t>
      </w:r>
    </w:p>
    <w:p>
      <w:r>
        <w:t>Gemäss der Schutztheorie kann eine durch Privatpersonen verfolgte Person auch dann als Flüchtling anerkannt werden, wenn der Staat weder fähig noch willens ist, der durch Private verfolgten Person Schutz zu bieten (vgl. EMARK 2006 Nr. 18 E. 10.2).</w:t>
      </w:r>
    </w:p>
    <w:p>
      <w:r>
        <w:rPr>
          <w:b/>
        </w:rPr>
        <w:t>E. 6.3</w:t>
      </w:r>
    </w:p>
    <w:p>
      <w:r>
        <w:t>In Übereinstimmung mit der Vorinstanz ist festzuhalten, dass kein asylrelevantes Motiv vorliegt. Das Bundesverwaltungsgericht geht zudem in konstanter Praxis davon aus, die mongolischen Behörden seien grundsätzlich schutzwillig und schutzfähig (vgl. Urteile des BVGer D-1068/2012 vom 30. April 2012 E. 6.3; E-415/2016 vom 3. Februar 2016 E. 6.1). Aus den Protokollen der BzP und der Anhörung ist ersichtlich, dass die Beschwerdeführerin mindestens einmal die Polizei gerufen und die Vorfälle gemeldet hat (vgl. vorinstanzliche Akten [...]) und es in der Folge auch zu einem Eingreifen der Polizei gekommen ist. Sodann hat es die Beschwerdeführerin bei nachfolgenden Vorfällen jedoch unterlassen, die Polizei zu rufen oder eine Anzeige zu erstatten. Zudem verneint sie ausdrücklich, sich nach dem Tod ihres Sohnes an die Polizei gewandt zu haben (vgl. [...]). Ihr Vorbringen auf Beschwerdeebene, wonach die Polizei sich geweigert habe, ihr Anliegen anzuhören, deckt sich weder mit ihren Ausführungen anlässlich der BzP noch anlässlich der Anhörung, zumal sie die Polizei gar nicht mehr kontaktierte. Zudem wird die Mongolei vom Bundesrat - wie von der Vorinstanz zutreffend erkannt - als verfolgungssicherer Staat gemäss Art. 6a Abs. 2 AsylG (Safe Country) bezeichnet (vgl. Anhang 2 zur Asylverordnung 1 vom 11. August 1999 [AsylV 1, SR 142.311]).</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(dort E. III) zutreffend erkannt, dass der in Art. 5 AsylG verankerte Grundsatz der Nichtrückschiebung mangels Erfüllung der Flüchtlingseigenschaft keine Anwendung findet und keine anderweitigen völkerrechtlichen Vollzugshindernisse erkennbar sind. Auch die allgemeine Menschenrechtssituation in der Mongolei lässt den Wegweisungsvollzug zum heutigen Zeitpunkt klarerweise nicht als unzulässig erscheinen.</w:t>
      </w:r>
    </w:p>
    <w:p>
      <w:r>
        <w:rPr>
          <w:b/>
        </w:rPr>
        <w:t>E. 8.3</w:t>
      </w:r>
    </w:p>
    <w:p>
      <w:r>
        <w:t>Die Vorinstanz hat die Zumutbarkeit des Wegweisungsvollzugs zutreffenderweise bejaht. Die vorgebrachten medizinischen Probleme der Beschwerdeführenden (Knieschmerzen bei der Beschwerdeführerin; (...)beschwerden beim Beschwerdeführer) sind nicht von solcher Schwere, als dass sie bei einer Rückkehr in ihren Heimatstaat in eine medizinische Notlage gelangen würden. Zudem verfügt die Mongolei über ein funktionierendes Gesundheitswesen (vgl. Urteil des BVGer D-6902/2016 vom 28. November 2016 E. 4.5 m.w.H.). Die Unzumutbarkeit des Wegweisungsvollzugs liegt gemäss Rechtsprechung des Gerichts noch nicht vor, wenn im Heimat- oder Herkunftsstaat eine nicht dem schweizerischen Standard entsprechende medizinische Behandlung möglich ist (vgl. BVGE 2011/50 E. 8.3). Auch das von den Beschwerdeführenden vorgebrachte Argument zur fehlenden innerstaatlichen Aufenthaltsalternative vermag nicht zu überzeugen. Gemäss Aussagen der Beschwerdeführerin sei sie nach dem (...) ihres Mannes und dem darauf folgenden Druck dessen (...) mit ihrem Sohn im Jahr 2008 nach F._______ gegangen und bis zum Jahr 2012 jeweils zwischen F._______, G._______ und E._______ hin- und hergependelt. Dort ging sie teilweise weiterhin ihrer Tätigkeit als (...) nach; in G._______ hatte sie zudem eine Mietwohnung (vgl. [...]). Es ist somit davon auszugehen, dass die Beschwerdeführenden bei einer Rückkehr in ihren Heimatstaat ihr Leben auch ausserhalb von E._______ führen können, zumal sie auch über ein intaktes familiäres Beziehungsnetz in I._______ verfügen (vgl. [...]). Im Übrigen kann auf die zutreffenden Ausführungen der Vorinstanz verwiesen werden.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Von einer Entwurzelung des (...) Jahre alten Beschwerdeführers von seinem Heimatstaat kann aufgrund der kurzen Aufenthaltsdauer in der Schweiz von rund (...) Monaten nicht ausgegangen werden. Im Übrigen kann auf die zutreffenden Ausführungen der Vorinstanz verwiesen werden. Eine Gefährdung des Kindeswohls bei einer Rückkehr der Beschwerdeführenden ist daher nicht ersichtlich. Nach dem Gesagten ist der Vollzug der Wegweisung sowohl im Sinne der asyl- als auch der völkerrechtlichen Bestimmungen zulässig und auch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Somit besteht auch kein Anlass zur Rückweisung der Sache an die Vorinstanz. Die Beschwerde ist abzuweisen.</w:t>
      </w:r>
    </w:p>
    <w:p>
      <w:r>
        <w:rPr>
          <w:b/>
        </w:rPr>
        <w:t>E. 10.1</w:t>
      </w:r>
    </w:p>
    <w:p>
      <w:r>
        <w:t>Das Gesuch um Gewährung der unentgeltlichen Prozessführung (vgl. Art. 65 Abs. 1 VwVG) ist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