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E-1747/2024 vom 5. April 2024</w:t>
      </w:r>
    </w:p>
    <w:p>
      <w:r>
        <w:t>Bundesverwaltungsgericht, 2024-04-05, DE</w:t>
      </w:r>
    </w:p>
    <w:p>
      <w:r>
        <w:rPr>
          <w:b/>
        </w:rPr>
        <w:t xml:space="preserve">Quelle: </w:t>
      </w:r>
      <w:r>
        <w:t>https://mcp.opencaselaw.ch/entscheid/bvger_E-1747_2024</w:t>
      </w:r>
    </w:p>
    <w:p>
      <w:r>
        <w:t>FR: TAF E-1747/2024 du 5 avril 2024</w:t>
      </w:r>
    </w:p>
    <w:p>
      <w:r>
        <w:t>IT: TAF E-1747/2024 del 5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BVGer zur Beurteilung von Beschwerden auf dem Gebiet des Asyls zuständig und entscheidet über diese in der Regel - so auch vorliegend - endgültig (Art. 83 Bst. d Ziff. 1 BGG). Die Beschwerde wurde frist- und mit der Beschwerdeverbesserung auch formgerecht eingereicht (Art. 108 Abs. 3 AsylG und Art. 52 Abs. 1 VwVG) und der Beschwerdeführer ist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w:t>
      </w:r>
    </w:p>
    <w:p>
      <w:r>
        <w:rPr>
          <w:b/>
        </w:rPr>
        <w:t>E. 1.4</w:t>
      </w:r>
    </w:p>
    <w:p>
      <w:r>
        <w:t>Auf einen Schriftenwechsel wurde in Anwendung von Art. 111a Abs. 1 AsylG verzichtet.</w:t>
      </w:r>
    </w:p>
    <w:p>
      <w:r>
        <w:rPr>
          <w:b/>
        </w:rPr>
        <w:t>E. 2</w:t>
      </w:r>
    </w:p>
    <w:p>
      <w:r>
        <w:t>Die Anträge auf Einräumung der aufschiebenden Wirkung sowie auf Verzicht auf die Erhebung eines Kostenvorschusses erweisen sich mit dem vorliegenden Entscheid in der Sache als gegenstandslos.</w:t>
      </w:r>
    </w:p>
    <w:p>
      <w:r>
        <w:rPr>
          <w:b/>
        </w:rPr>
        <w:t>E. 3</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4</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 Die Zuständigkeit ergibt sich direkt aus Art. 18 Abs. 1 Bst. b-d beziehungsweise Art. 20 Abs. 5 Dublin-III-VO (vgl. statt vieler: Urteil des BVGer F-1959/2023 vom 19. April 2023 E. 3.2 m.w.H.).</w:t>
      </w:r>
    </w:p>
    <w:p>
      <w:r>
        <w:rPr>
          <w:b/>
        </w:rPr>
        <w:t>E. 5.2</w:t>
      </w:r>
    </w:p>
    <w:p>
      <w:r>
        <w:t>Der Beschwerdeführer hat am 6. Februar 2024 in Kroatien ein Asylgesuch eingereicht und die kroatischen Behörden haben am 7. März 2024 seiner Wiederaufnahme zugestimmt. Damit ist die grundsätzliche Zuständigkeit Kroatiens gegeben. Dem Einwand des Beschwerdeführers, er sei zur Abgabe seiner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Dass er von Anfang an in die Schweiz haben reisen wollen, kann nichts an der grundsätzlichen Zuständigkeit Kroatiens ändern. Die Dublin-III-VO räumt den Schutzsuchenden nämlich kein Recht ein, den ihren Antrag prüfenden Staat selber auszuwählen (vgl. auch BVGE 2010/45 E. 8.3). Weder aus Art. 2 Bst. g noch aus Art. 16 Dublin-III-VO kann der Beschwerdeführer etwas zu seinen Gunsten ableiten, da der in der Schweiz lebende Verwandte nicht zu den Familienangehörigen im Sinne der Dublin-III-VO gehört und offenkundig auch kein Abhängigkeitsverhältnis zu diesem Cousin des Vaters besteht.</w:t>
      </w:r>
    </w:p>
    <w:p>
      <w:r>
        <w:rPr>
          <w:b/>
        </w:rPr>
        <w:t>E. 6</w:t>
      </w:r>
    </w:p>
    <w:p>
      <w:r>
        <w:t>Es bestehen sodann unter dem Aspekt von Art. 3 Abs. 2 Dublin-III-VO keine wesentlichen Gründe für die Annahme, das Asylverfahren und die Aufnahmebedingungen für Asylsuchende in Kroatien würden systemische Schwachstellen aufweisen, die eine Gefahr einer unmenschlichen oder entwürdigenden Behandlung im Sinne des Artikels 4 der EU-Grundrechtecharta mit sich bringen würden. Gemäss ständiger Rechtsprechung des Bundesverwaltungsgerichts weisen das Asylverfahren und die Aufnahmebedingungen in Kroatien keine systemischen Schwachstellen auf (vgl. unter vielen: Urteile des BVGer F-773/2024 vom 13. Februar 2024 E. 7.3, F-80/2024 vom 17. Januar 2023 E. 7.2; D-7179/2023 vom 8. Januar 2024 E. 6.2; je mit Hinweisen auf das Referenzurteil des BVGer E-1488/2020 vom 22. März 2023 E. 9.5). Demnach sind Dublin-Überstellungen nach Kroatien grundsätzlich sowohl in «take-charge» (Aufnahme) als auch in «take-back» (Wiederaufnahme) Verfahren zulässig und die Anwendung von Art. 3 Abs. 2 Dublin-III-VO fällt nicht in Betracht.</w:t>
      </w:r>
    </w:p>
    <w:p>
      <w:r>
        <w:rPr>
          <w:b/>
        </w:rPr>
        <w:t>E. 7</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7.1</w:t>
      </w:r>
    </w:p>
    <w:p>
      <w:r>
        <w:t>Bei der Beurteilung des Selbsteintritts gilt zu beachten, dass Kroatien Signatarstaat des Abkommens vom 28. Juli 1951 über die Rechtsstellung der Flüchtlinge (FK, SR 0.142.30), des Zusatzprotokolls der FK vom 31. Januar 1967 (SR 0.142.301) sowie der EMRK und des Übereinkommens vom 10. Dezember 1984 gegen Folter und andere grausame, unmenschliche oder erniedrigende Behandlung oder Strafe (FoK, SR 0.105) ist und verpflichtet ist, seinen ist und verpflichtet ist,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Kroatien halte seine völkerrechtlichen Verpflichtungen ein, kann im Einzelfall widerlegt werden Dazu muss die gesuchstellende Person konkrete Indizien darzutun können, dass im Falle ihrer Überstellung zwingende völkerrechtliche Bestimmungen verletzt würden (vgl. BVGE 2010/45 E. 7.4 f.). Der Beschwerdeführer vermag kein konkretes und ernsthaftes Risiko darzutun, die kroatischen Behörden würden in seinem Fall bei der Rückkehr ihren völkerrechtlichen Verpflichtungen nicht nachkommen. Er wird sich, wie vom SEM zutreffend erläutert, nach der Dublin-Überstellung in einer anderen Situation wiederfinden als nach seiner ersten (illegalen) Einreise nach Kroatien. Es bestehen keine Gründe für die Annahme, er hätte keinen Zugang zu einem rechtsstaatlichen Asylverfahren und Kroatien werde den Grundsatz des Non-Refoulement missachten und ihn zur Ausreise in ein Land zwingen, in dem sein Leib, sein Leben oder seine Freiheit aus einem Grund nach Art. 3 Abs. 1 AsylG gefährdet ist oder in dem er Gefahr laufen würden, zur Ausreise in ein solches Land gezwungen zu werden. Mit seiner pauschalen Behauptung, die kroatischen Behörden würden ihn an die Türkei ausliefern, vermag der Beschwerdeführer die Vermutung, Kroatien halte seine völkerrechtlichen Verpflichtungen auch in seinem Fall ein, nicht umzustossen.</w:t>
      </w:r>
    </w:p>
    <w:p>
      <w:r>
        <w:rPr>
          <w:b/>
        </w:rPr>
        <w:t>E. 7.2</w:t>
      </w:r>
    </w:p>
    <w:p>
      <w:r>
        <w:t>Schliesslich ist die angefochtene Verfügung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Das SEM hat die spezifischen Umstände des Einzelfalls hinreichend wahrgenommen und berücksichtigt und es liegen keine Ermessensfehler vor.</w:t>
      </w:r>
    </w:p>
    <w:p>
      <w:r>
        <w:rPr>
          <w:b/>
        </w:rPr>
        <w:t>E. 8</w:t>
      </w:r>
    </w:p>
    <w:p>
      <w:r>
        <w:t>Das SEM ist demnach zu Recht auf das Asylgesuch des Beschwerdeführers nicht eingetreten und hat seine Wegweisung nach Kroatien angeordnet (Art. 31a Abs. 1 Bst. b AsylG und Art. 44 AsylG). Die angefochtene Verfügung erweist sich als rechtmässig (Art. 106 Abs. 1 AsylG) und die Beschwerde ist abzuweisen.</w:t>
      </w:r>
    </w:p>
    <w:p>
      <w:r>
        <w:rPr>
          <w:b/>
        </w:rPr>
        <w:t>E. 9</w:t>
      </w:r>
    </w:p>
    <w:p>
      <w:r>
        <w:t>Das mit der Beschwerde gestellte Gesuch um Gewährung der unentgeltlichen Prozessführung im Sinne von Art. 65 Abs. 1 VwVG ist abzuweisen, da die Begehren zum Zeitpunkt der Gesuchstellung als aussichtslos zu bezeichnen waren. 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