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E-1745/2016 vom 23. März 2016</w:t>
      </w:r>
    </w:p>
    <w:p>
      <w:r>
        <w:t>Bundesverwaltungsgericht, 2016-03-23, DE</w:t>
      </w:r>
    </w:p>
    <w:p>
      <w:r>
        <w:rPr>
          <w:b/>
        </w:rPr>
        <w:t xml:space="preserve">Quelle: </w:t>
      </w:r>
      <w:r>
        <w:t>https://mcp.opencaselaw.ch/entscheid/bvger_E-1745_2016</w:t>
      </w:r>
    </w:p>
    <w:p>
      <w:r>
        <w:t>FR: TAF E-1745/2016 du 23 mars 2016</w:t>
      </w:r>
    </w:p>
    <w:p>
      <w:r>
        <w:t>IT: TAF E-1745/2016 del 23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ein Abgleich der Fingerabdrücke mit der Zentraleinheit Eurodac habe ergeben, dass der Beschwerdeführer am 27. September 2015 in Bulgarien ein Asylgesuch eingereicht habe. Die bulgarischen Behörden hätten das Ersuchen der Schweiz um Wiederaufnahme des Beschwerdeführers gestützt auf Art. 20 Abs. 5 Dublin-III-VO gutgeheissen. Die Zuständigkeit für die Durchführung des Asyl- und Wegweisungsverfahrens liege somit bei Bulgarien. Sein Wunsch nach einem Verbleib in der Schweiz habe keinen Einfluss auf die Zuständigkeit. Es sei nicht davon auszugehen, dass er bei einer Überstellung nach Bulgarien im Sinne von Art. 3 Abs. 2 Dublin-III-VO und Art. 3 EMRK gravierenden Menschenrechtsverletzungen ausgesetzt wäre, in eine existenzielle Notlage geraten würde oder ohne Prüfung seines Asylgesuchs und unter Verletzung des Non-Refoulement-Gebots in sein Heimatland überstellt werden würde. Zudem würden in Bulgariens Asyl- und Aufnahmesystem keine systemischen Mängel vorliegen. Für eine Anwendung der Souveränitätsklausel würden keine Gründe vorliegen.</w:t>
      </w:r>
    </w:p>
    <w:p>
      <w:r>
        <w:rPr>
          <w:b/>
        </w:rPr>
        <w:t>E. 4.2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w:t>
      </w:r>
    </w:p>
    <w:p>
      <w:r>
        <w:rPr>
          <w:b/>
        </w:rPr>
        <w:t>E. 4.2.1</w:t>
      </w:r>
    </w:p>
    <w:p>
      <w:r>
        <w:t>Aus dem Eurodac-Datenblatt geht hervor, dass der Beschwerdeführer am 27. September 2015 in Bulgarien ein Asylgesuch gestellt hat. Die Vor­instanz ersuchte die bulgarischen Behörden in Anwendung von Art. 18 Abs. 1 Bst. b Dublin-III-VO um Wiederaufnahme des Beschwerdeführers. Diese hiessen das Ersuchen gestützt auf Art. 20 Abs. 5 Dublin-III-VO gut. Bulgarien ist somit grundsätzlich zuständig für die Durchführung des Asyl- und Wegweisungsverfahrens. Entgegen der Ansicht des Beschwerdeführers spielt es keine Rolle, aufgrund welcher Rechtsgrundlage Bulgarien sich als zuständig erachtet.</w:t>
      </w:r>
    </w:p>
    <w:p>
      <w:r>
        <w:rPr>
          <w:b/>
        </w:rPr>
        <w:t>E. 4.2.2</w:t>
      </w:r>
    </w:p>
    <w:p>
      <w:r>
        <w:t>Der Beschwerdeführer führt auf Beschwerdeebene aus, die Vor­instanz müsse explizit bestätigen, dass zwischen dem 10. Februar 2016 und dem 8. März 2016 kein Verfahrensschritt vorgenommen worden sei. Ausserdem bestehe eine Unklarheit mit der Formulierung der Remonstration der Vorinstanz. Auch sei unklar, ob er sein Asylgesuch in Bulgarien zurückgezogen habe. Insoweit würden weitere Abklärungen als angebracht erscheinen. Hierzu ist zu sagen, dass dem Beschwerdeführer die editionspflichtigen Akten ausgehändigt wurden. Für ihn ist somit klar ersichtlich, dass zwischen den beiden genannten Daten kein Verfahrensschritt vorgenommen wurde. Aus welchem Grund die Vorinstanz dies explizit festzuhalten habe, begründet er nicht. Dies ist auch nicht ersichtlich. Ebenfalls nicht ersichtlich ist, was der Beschwerdeführer aus der angeblich unklaren Formulierung der Remonstration ableitet. Schliesslich ist nicht rechtserheblich, ob der Beschwerdeführer sein Asylgesuch in Bulgarien zurückgezogen hat, da Bulgarien in beiden Fällen zur Übernahme des Beschwerdeführers verpflichtet ist. Seine Rügen sind unbegründet. Die Vorinstanz hat den rechtserheblichen Sachverhalt somit hinreichend geklärt und den Untersuchungsgrundsatz nicht verletzt.</w:t>
      </w:r>
    </w:p>
    <w:p>
      <w:r>
        <w:rPr>
          <w:b/>
        </w:rPr>
        <w:t>E. 4.2.3</w:t>
      </w:r>
    </w:p>
    <w:p>
      <w:r>
        <w:t>Der Beschwerdeführer bringt vor, er sei in Bulgarien unmenschlich behandelt worden. Bulgarien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Bulgarien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Es liegen keine Anhaltspunkte dafür vor, dass Bulgarien im vorliegenden Fall seine staatsvertraglichen Verpflichtungen missachten würde und der Beschwerdeführer einer menschenunwürdigen oder erniedrigenden Behandlung ausgesetzt wäre (Art. 3 EMRK). Bei seinem Vorbringen, er sei in Bulgarien unmenschlich behandelt worden, handelt es sich um eine reine Behauptung, welche er nicht weiter substantiiert. Ausserdem ist festzuhalten, dass es sich beim Beschwerdeführer um einen jungen und gesunden Mann handelt und nicht um eine besonders verletzliche Person. Systemische Mängel liegen im bulgarischen Asyl- und Aufnahmeverfahren keine vor; Art. 17 Abs. 1 und Art. 3 Abs. 2 Satz 2 Dublin-III-VO greifen nicht.</w:t>
      </w:r>
    </w:p>
    <w:p>
      <w:r>
        <w:rPr>
          <w:b/>
        </w:rPr>
        <w:t>E. 4.2.4</w:t>
      </w:r>
    </w:p>
    <w:p>
      <w:r>
        <w:t>Der Beschwerdeführer bringt weiter vor, sein minderjähriger Bruder befinde sich in der Schweiz. Es sei mit der Dublin-III-Verordnung gut vereinbar, wenn man ihn nicht von seinem Bruder trenne. Die Dublin-III-Verordnung berücksichtigt die Familie in verschiedenen Bestimmungen. Der Beschwerdeführer kann sich nicht auf Art. 8 und Art. 11 berufen, weil er volljährig ist. Art. 9 ist nicht einschlägig, weil sein Bruder nicht Begünstigter internationalen Schutzes ist und Art. 10 ebenfalls nicht, weil der Bruder nicht zur Kernfamilie gehört. Schliesslich scheidet auch Art. 16 aus, weil er nicht wegen schwerer Krankheit, ernsthafter Behinderung oder hohen Alters auf die Unterstützung seines Bruders angewiesen ist. Seine Rüge geht somit fehl.</w:t>
      </w:r>
    </w:p>
    <w:p>
      <w:r>
        <w:rPr>
          <w:b/>
        </w:rPr>
        <w:t>E. 4.2.5</w:t>
      </w:r>
    </w:p>
    <w:p>
      <w:r>
        <w:t>Zudem macht der Beschwerdeführer geltend, die Schweiz solle aus humanitären Gründen das Recht auf Selbsteintritt wahrnehmen. Der Beschwerdeführer fordert damit implizit die Anwendung der Ermessensklausel von Art. 17 Abs. 1 Dublin-III-VO respektive der - das Selbsteintrittsrecht im Landesrecht konkretisierenden - Bestimmung von Art. 29a Abs. 3 der Asylverordnung 1 vom 11. August 1999 (AsylV 1, SR 142.311), gemäss welcher die Vorinstanz das Asylgesuch "aus humanitären Gründen" auch dann behandeln kann, wenn dafür gemäss Dublin-III-VO ein anderer Staat zuständig wäre. Der Vorinstanz kommt bei der Anwendung von Art. 29a Abs. 3 AsylV 1 Ermessen zu (vgl. BVGE 2015/9 E. 7 f.). Den Akten sind keine Hinweise auf eine gesetzeswidrige Ermessensausübung (vgl. Art. 106 Abs. 1 Bst. a AsylG) durch die Vorinstanz zu entnehmen, weshalb die Rüge des Beschwerdeführers fehl geht.</w:t>
      </w:r>
    </w:p>
    <w:p>
      <w:r>
        <w:rPr>
          <w:b/>
        </w:rPr>
        <w:t>E. 4.3</w:t>
      </w:r>
    </w:p>
    <w:p>
      <w:r>
        <w:t>Die Vorinstanz ist somit zutreffend von der Zuständigkeit Bulgariens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w:t>
      </w:r>
    </w:p>
    <w:p>
      <w:r>
        <w:t>Zusammenfassend verletzt die angefochtene Verfügung kein Bundesrecht und ist auch sonst nicht zu beanstanden (Art. 106 AsylG). Für eine Rückweisung der Sache an die Vorinstanz besteht nach dem Gesagten kein Anlass. Die Beschwerde ist abzuweisen. Mit dem vorliegenden Urteil ist der Antrag auf Gewährung der aufschiebenden Wirkung sowie der Antrag, die Vollzugsbehörden seien anzuweisen, von Vollzugshandlungen abzusehen,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Prozessführung sowie dem Gesuch um Beiordnung eines amtlichen Rechtsbeistandes nicht stattgegeben werden.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