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E-1744/2012 vom 2. Juli 2012</w:t>
      </w:r>
    </w:p>
    <w:p>
      <w:r>
        <w:t>Bundesverwaltungsgericht, 2012-07-02, DE</w:t>
      </w:r>
    </w:p>
    <w:p>
      <w:r>
        <w:rPr>
          <w:b/>
        </w:rPr>
        <w:t xml:space="preserve">Quelle: </w:t>
      </w:r>
      <w:r>
        <w:t>https://mcp.opencaselaw.ch/entscheid/bvger_E-1744_2012</w:t>
      </w:r>
    </w:p>
    <w:p>
      <w:r>
        <w:t>FR: TAF E-1744/2012 du 2 juillet 2012</w:t>
      </w:r>
    </w:p>
    <w:p>
      <w:r>
        <w:t>IT: TAF E-1744/2012 del 2 luglio 2012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gutgeheissen und das BFM angewiesen, das Asylverfahren des Beschwerdeführers in der Schweiz durchzuführen.</w:t>
      </w:r>
    </w:p>
    <w:p>
      <w:r>
        <w:rPr>
          <w:b/>
        </w:rPr>
        <w:t>E. 2</w:t>
      </w:r>
    </w:p>
    <w:p>
      <w:r>
        <w:t>Es werden keine Verfahrenskosten auferlegt.</w:t>
      </w:r>
    </w:p>
    <w:p>
      <w:r>
        <w:rPr>
          <w:b/>
        </w:rPr>
        <w:t>E. 3</w:t>
      </w:r>
    </w:p>
    <w:p>
      <w:r>
        <w:t>Das BFM wird angewiesen, dem Beschwerdeführer eine Parteientschädigung von Fr. 500.- auszurichten.</w:t>
      </w:r>
    </w:p>
    <w:p>
      <w:r>
        <w:rPr>
          <w:b/>
        </w:rPr>
        <w:t>E. 4</w:t>
      </w:r>
    </w:p>
    <w:p>
      <w:r>
        <w:t>Dieses Urteil geht an den Beschwerdeführer, an das BFM und an das (...) des Kantons B._______. Der vorsitzende Richter: Der Gerichtsschreiber: Bruno Huber Jonas Tschan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