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E-1743/2023 vom 13. Juni 2023</w:t>
      </w:r>
    </w:p>
    <w:p>
      <w:r>
        <w:t>Bundesverwaltungsgericht, 2023-06-13, DE</w:t>
      </w:r>
    </w:p>
    <w:p>
      <w:r>
        <w:rPr>
          <w:b/>
        </w:rPr>
        <w:t xml:space="preserve">Quelle: </w:t>
      </w:r>
      <w:r>
        <w:t>https://mcp.opencaselaw.ch/entscheid/bvger_E-1743_2023</w:t>
      </w:r>
    </w:p>
    <w:p>
      <w:r>
        <w:t>FR: TAF E-1743/2023 du 13 juin 2023</w:t>
      </w:r>
    </w:p>
    <w:p>
      <w:r>
        <w:t>IT: TAF E-1743/2023 del 13 giugno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Gemäss dem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Kann kein Mitgliedstaat gemäss den aufgeführten Kriterien bestimmt werden, ist derjenige Staat zuständig, in welchem das erste Asylgesuch gestellt wurde (Art. 3 Abs. 2 Satz 1 Dublin-III-VO).</w:t>
      </w:r>
    </w:p>
    <w:p>
      <w:r>
        <w:rPr>
          <w:b/>
        </w:rPr>
        <w:t>E. 3.3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(Art. 19 Abs. 2 Dublin-III-VO).</w:t>
      </w:r>
    </w:p>
    <w:p>
      <w:r>
        <w:rPr>
          <w:b/>
        </w:rPr>
        <w:t>E. 4.1</w:t>
      </w:r>
    </w:p>
    <w:p>
      <w:r>
        <w:t>Der Beschwerdeführer wurde laut Abgleich der Fingerabdrücke mit der Eurodac-Datenbank am 14. Januar 2023 in Kroatien aufgegriffen und dort daktyloskopisch registriert. Die kroatischen Behörden stimmten der Aufnahme des Beschwerdeführers im Sinne von Art. 13 Abs. 1 Dublin-III-VO ausdrücklich zu. Die grundsätzliche Zuständigkeit Kroatiens wurde vom Beschwerdeführer im Rahmen des vorinstanzlichen Verfahrens zu keinem Zeitpunkt bestritten (vgl. act. 15).</w:t>
      </w:r>
    </w:p>
    <w:p>
      <w:r>
        <w:rPr>
          <w:b/>
        </w:rPr>
        <w:t>E. 4.2</w:t>
      </w:r>
    </w:p>
    <w:p>
      <w:r>
        <w:t>Auf Beschwerdeebene brachte der Beschwerdeführer nun erstmals vor, zuerst in Griechenland (illegal) in das Hoheitsgebiet der Dublin-Mitgliedstaaten eingereist zu sein, was gestützt auf Art. 13 Abs. 1 Dublin-III-VO die (ursprüngliche) Zuständigkeit Griechenlands begründen könnte. Das mit der Beschwerde eingereichte Foto zeigt wohl tatsächlich den Beschwerdeführer auf einer Fussgängerbrücke in der griechischen Stadt C._______, womit von einem früheren Griechenlandaufenthalt des Beschwerdeführers auszugehen ist (wobei allerdings die zeitlichen und weiteren Umstände dieses Griechenlandaufenthalts im Dunklen bleiben). Erstellt ist weiter, dass er anschliessend ohne Asylgesuchstellung weitergereist und von Bosnien und Herzegowina kommend - somit von ausserhalb des Dublin-Raums - die Grenze zum Dublin-Mitgliedstaat Kroatien (illegal) überschritten hat. Die Vorinstanz führte in ihrer Vernehmlassung zu Recht an, dass eine bestimmte Dauer des Aufenthalts ausserhalb des Dublin-Raums in Konstellationen wie der vorliegenden nicht erforderlich ist, wobei Art. 19 Abs. 2 mangels Antragsstellung gar nicht erst zur Anwendung gelangt (vgl. Christian Filzwieser/Andrea Sprung, Dublin-III-Verordnung, Das Europäische Asylzuständigkeitssystem, 2014, K6 zu Art. 19 Dublin-III-VO m.w.H.). Der Einwand des Beschwerdeführers, dass aufgrund des Wortlauts dieser Bestimmung («Aufnahme oder Wiederaufnahme») auch Personen erfasst würden, welche im ersten Einreisestaat keinen internationalen Schutz beantragt hätten, geht fehl: Art. 19 Abs. 2 Dublin-III-VO findet lediglich Anwendung auf «Antragsteller oder eine andere Person im Sinne von Artikel 18 Absatz 1 Buchstabe c oder d», wobei auch diese «anderen Personen» gemäss den Buchstaben c oder d gemäss der genannten Bestimmung der Dublin-III-VO bereits einmal einen Antrag um Gewährung des internationalen Schutzes gestellt haben (vgl. zur Definition des Begriffs «Antragsteller» Erwägungsgrund 8 Dublin-III-VO). Die Bestimmung der Zuständigkeit hat vorliegend also nach den Kriterien von Art. 13 Abs. 1 Dublin-III-VO zu erfolgen. Hierbei ist der Auslegung der Vorinstanz zu folgen, wonach unter Berücksichtigung von Art. 7 Abs. 2 Dublin-III-VO (sog. Versteinerungsprinzip) die letzte illegale Einreise in den Dublin-Raum die Zuständigkeit dieses Mitgliedstaats begründet. Selbst wenn der Beschwerdeführer ursprünglich zunächst in Griechenland illegal in das Hoheitsgebiet der Dublin-Mitgliedstaaten eingereist sein sollte, ist die «Anknüpfungskette» mangels Gesuchstellung und Registrierung in Griechenland und der darauffolgenden Ausreise aus dem Dublin-Raum als gerissen zu betrachten. Dieser Ansicht ist das Bundesverwaltungsgericht bereits im Urteil D-1740/2023 gefolgt (vgl. a.a.O. E. 5.1). Entgegen der Ansicht des Beschwerdeführers hat das Gericht darin die Zuständigkeit Kroatiens nicht bloss mit dem Vorliegen systemischer Mängel in Griechenland, sondern auch mit dem Umstand begründet, dass der Beschwerdeführer dort (in Griechenland) nicht als Asylsuchender registriert worden und unbestrittenermassen in Kroatien erneut in den Dublin-Raum eingereist sei (vgl. a.a.O.); dies entspricht der vorliegenden Konstellation. Nach dem Gesagten ist auch das Übernahmeersuchen des SEM an die kroatischen Behörden hinsichtlich der enthaltenen Informationen über den Reiseweg des Beschwerdeführers nicht zu bemängeln. Im Übrigen kann diesbezüglich auf die Erwägungen des SEM in der Vernehmlassung verwiesen werden, denen sich das Gericht anschliesst.</w:t>
      </w:r>
    </w:p>
    <w:p>
      <w:r>
        <w:rPr>
          <w:b/>
        </w:rPr>
        <w:t>E. 4.3</w:t>
      </w:r>
    </w:p>
    <w:p>
      <w:r>
        <w:t>Nach dem Gesagten ist die grundsätzliche Zuständigkeit Kroatiens zur Durchführung des Asyl- und Wegweisungsverfahrens des Beschwerdeführers gegeben.</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5.1.1</w:t>
      </w:r>
    </w:p>
    <w:p>
      <w:r>
        <w:t>Im Referenzurteil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geht hierbei davon aus, dass nicht zu befürchten sei, Dublin-Rückkehrende würden ohne Eröffnung und Durchführung eines Asylverfahrens aus Kroatien rechtswidrig ausgeschafft. Auch liessen sich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würden,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5.1.2</w:t>
      </w:r>
    </w:p>
    <w:p>
      <w:r>
        <w:t>Von einer Überstellung ist nur in Ausnahmefällen abzusehen, in welchen gesuchstellende Personen durch substanziierte Vorbringen darlegen können, dass die generelle Annahme wie im Referenzurteil E-1488/2020 vom 22. März 2023 aufgezeigt, in ihrem Fall nicht zutrifft. Dies gelingt dem Beschwerdeführer mit seinen Schilderungen der Erlebnisse beim Grenzübertritt nach Kroatien und kurzen Aufenthalt in dem Land sowie dem Verweis in der Rechtsmitteleingabe auf Berichte verschiedener Organisationen und Zeitungen betreffend punktuelle Schwachstellen im kroatischen Asylsystem nicht. Es ist nicht davon auszugehen, Kroatien als Signatarstaat der EMRK, des Übereinkommens vom 10. Dezember 1984 gegen Folter und andere grausame, unmenschliche oder erniedrigende Behandlung oder Strafe (nachfolgend: FoK, SR 0.105) und des Abkommens vom 28. Juli 1951 über die Rechtsstellung der Flüchtlinge (FK, SR 0.142.30) sowie des Zusatzprotokolls der FK vom 31. Januar 1967 (SR 0.142.301) verstosse systematisch gegen seine vertraglichen (völkerrechtlichen) Verpflichtungen. Es darf davon ausgegangen werden, Kroatien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vom Beschwerdeführer für die Zeit seines Aufenthalts in Kroatien behaupteten Misshandlungen durch Polizisten sowie die angebliche schlechte Behandlung durch die Behörden rechtfertigen nicht, davon auszugehen, dass er bei einer Rückkehr mit hoher Wahrscheinlichkeit Opfer einer unmenschlichen oder erniedrigenden Behandlung im Sinne von Art. 3 EMRK, Art. 3 FoK oder Art. 4 EU-Grundrechtecharte würde. Bei Fehlverhalten einzelner Beamter könnte er sich zudem an die zuständigen kroatischen Stellen wenden. Es ist auch nicht davon auszugehen, dass er bei einer Überstellung nach Kroatien in eine existenzielle Notlage geraten könnte.</w:t>
      </w:r>
    </w:p>
    <w:p>
      <w:r>
        <w:rPr>
          <w:b/>
        </w:rPr>
        <w:t>E. 5.2</w:t>
      </w:r>
    </w:p>
    <w:p>
      <w:r>
        <w:t>Unter diesen Umständen ist die Anwendung von Art. 3 Abs. 2 Dublin-III-VO nicht gerechtfertigt.</w:t>
      </w:r>
    </w:p>
    <w:p>
      <w:r>
        <w:rPr>
          <w:b/>
        </w:rPr>
        <w:t>E. 6.1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Der Beschwerdeführer hat kein konkretes und ernsthaftes Risiko dargetan, die kroatischen Behörden würden sich weigern, ihn aufzunehmen und seinen Antrag auf internationalen Schutz, sobald dieser eingereicht wird,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wird im Rahmen der Dublin-III-VO nach Kroatien überstellt werden und dort die Möglichkeit erhalten, ein Asylgesuch zu stellen. Es sind ebenso wenig konkrete Hinweise für die Annahme gegeben, Kroatien würde ihm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nach einer Überstellung nach Kroatien gewährleistet ist. Nötigenfalls kann er sich an die zuständigen Behörden vor Ort wenden und die ihm zustehenden Aufnahmebedingungen auf dem Rechtsweg einfordern (Art. 26 Aufnahmerichtlinie). Auch mit der Behauptung, seitens kroatischer Grenzwächter Gewalt erfahren zu haben (Ohrfeige, Tritt ins Knie) - was nicht auszuschliessen und bedauerlich wäre - vermag er nicht darzutun, er würde ernsthaft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6.3</w:t>
      </w:r>
    </w:p>
    <w:p>
      <w:r>
        <w:t>Im Weiteren vermag der Gesundheitszustand des Beschwerdeführers weder eine Unzulässigkeit des Vollzugs der Wegweisung nach Kroatien im Sinne der restriktiven Rechtsprechung (vgl. BVGE 2011/9 E. 7 mit Hinweisen auf die damalige Praxis des Europäischen Gerichtshofs für Menschenrechte [EGMR] sowie Urteil des EGMR Paposhvili gegen Belgien 13. Dezember 2016, Grosse Kammer 41738/10, §§ 180-193 m.w.H.) noch einen Selbsteintritt aus humanitären Gründen zu rechtfertigen. Diesbezüglich kann zur Vermeidung von Wiederholungen vollumfänglich auf die zutreffenden vorinstanzlichen Erwägungen in der angefochtenen Verfügung verwiesen werden (vgl. a.a.O. S. 7 f.).</w:t>
      </w:r>
    </w:p>
    <w:p>
      <w:r>
        <w:rPr>
          <w:b/>
        </w:rPr>
        <w:t>E. 6.4</w:t>
      </w:r>
    </w:p>
    <w:p>
      <w:r>
        <w:t>Die angefochtene Verfügung ist unter dem Blickwinkel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6.4.1</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6.5</w:t>
      </w:r>
    </w:p>
    <w:p>
      <w:r>
        <w:t>Somit bleibt Kroatien der für die Behandlung des Asylgesuchs des Beschwerdeführers zuständige Mitgliedstaat gemäss Dublin-III-VO. Kroatien ist verpflichtet, den Beschwerdeführer gemäss Art. 21, 22 und 29 Dublin-III-VO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w:t>
      </w:r>
    </w:p>
    <w:p>
      <w:r>
        <w:t>Aufgrund des Ausgeführten erscheint es nicht angezeigt, das SEM dazu zu verpflichten, von den kroatischen Behörden vor einer Überstellung individuelle Zusicherungen bezüglich des Zugangs zum Asylverfahren, zu adäquater Unterbringung sowie medizinischer Behandlung einzuholen. Der entsprechende Subeventualantrag ist abzuweisen.</w:t>
      </w:r>
    </w:p>
    <w:p>
      <w:r>
        <w:rPr>
          <w:b/>
        </w:rPr>
        <w:t>E. 9</w:t>
      </w:r>
    </w:p>
    <w:p>
      <w:r>
        <w:t>Nach dem Gesagten ist die Beschwerde abzuweisen und die Verfügung des SEM zu bestätigen. Das SEM hat den rechtserheblichen Sachverhalt vollständig und richtig festgestellt. Eine Aufhebung der Verfügung und eine Rückweisung der Sache an die Vorinstanz zur vollständigen Erstellung des Sachverhalts ist nicht angezeigt.</w:t>
      </w:r>
    </w:p>
    <w:p>
      <w:r>
        <w:rPr>
          <w:b/>
        </w:rPr>
        <w:t>E. 10</w:t>
      </w:r>
    </w:p>
    <w:p>
      <w:r>
        <w:t>Bei diesem Ausgang des Verfahrens wären die Kosten grundsätzlich dem Beschwerdeführer aufzuerlegen (Art. 63 Abs. 1 VwVG). Nachdem aber mit Zwischenverfügung vom 5. April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