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E-1741/2011 vom 21. Februar 2013</w:t>
      </w:r>
    </w:p>
    <w:p>
      <w:r>
        <w:t>Bundesverwaltungsgericht, 2013-02-21, DE</w:t>
      </w:r>
    </w:p>
    <w:p>
      <w:r>
        <w:rPr>
          <w:b/>
        </w:rPr>
        <w:t xml:space="preserve">Quelle: </w:t>
      </w:r>
      <w:r>
        <w:t>https://mcp.opencaselaw.ch/entscheid/bvger_E-1741_2011</w:t>
      </w:r>
    </w:p>
    <w:p>
      <w:r>
        <w:t>FR: TAF E-1741/2011 du 21 février 2013</w:t>
      </w:r>
    </w:p>
    <w:p>
      <w:r>
        <w:t>IT: TAF E-1741/2011 del 21 febbraio 2013</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i.S. von Art. 32 VGG liegt nicht vor. Das Bundesverwaltungsgericht ist daher für die Beurteilung der vorliegenden Beschwerde zuständig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und Art. 105 AsylG i.V.m. Art. 37 VGG, Art. 48 Abs. 1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sofern keine Asylausschlussgründe vorliegen.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 Massgeblich für die Beurteilung der Flüchtlingseigenschaft ist nicht die Situation im Zeitpunkt der Ausreise, sondern die Situation im Zeitpunkt des Asylentscheides, wobei allerdings erlittene Verfolgung oder begründete Furcht vor Verfolgung im Zeitpunkt der Ausreise ein Hinweis auf weiterbestehende Gefährdung sein kann. Veränderungen der objektiven Situation im Heimatstaat zwischen Ausreise und Asylentscheid sind zugunsten und zulasten der Asylgesuch stellenden Person zu berücksichtigen (BVGE 2008/4 E.5.4 und BVGE 2007/31 E. 5.3, m.w.H.).</w:t>
      </w:r>
    </w:p>
    <w:p>
      <w:r>
        <w:rPr>
          <w:b/>
        </w:rPr>
        <w:t>E. 2.2</w:t>
      </w:r>
    </w:p>
    <w:p>
      <w:r>
        <w:t>Wer um Asyl nachsucht, muss die Flüchtlingseigenschaft nachweisen oder zumindest glaubhaft machen. Die Flüchtlingseigenschaft ist nachzuweisen, soweit der Beweis möglich ist; andernfalls genügt die Glaubhaftmachung.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Das BFM begründete seine ablehnende Haltung im Flüchtlings- und Asylpunkt mit dem Umstand, dass der Beschwerdeführer zentrale Punkte seiner Asylbegründung zu wenig konkret, zu wenig detailliert und zu undifferenziert dargestellt habe. Ausserdem fehle es seinen knappen Ausführungen an persönlichen und emotionsreichen Eindrücken, weshalb er das Geschilderte nicht persönlich erlebt haben dürfte. Die Aussagen zur Bedrohung durch die Familie von S. hätten sich als äusserst oberflächlich und standardisiert erwiesen. Er könne weder die Daten seiner Begegnungen mit S. noch irgendwelche andere Daten, beispielsweise das Datum des Heiratsantrags, nennen. Er sei nicht in der Lage, Informationen über S. und deren nächste Familienangehörigen anzugeben. Er kenne weder den Namen ihres Vaters noch den deren Brüder, obschon diese Personen von den Eltern besucht worden seien. Zudem könne er nicht nachvollziehbar erklären, weshalb sich S., angeblich eine Frau aus einer konservativen religiösen Familie, ohne Begleitung in sein (...) habe begeben dürfen. Besonders erstaunlich sei in diesem Zusammenhang, dass S. nach Ablehnung des Heiratsantrags weiterhin das Risiko eingegangen sei, in sein Geschäft zu kommen. Diesbezüglich warte er lediglich mit der stereotypen Erklärung auf, sie seien verliebt gewesen. Unverständlich sei zudem, dass - wie ansonsten üblich in Afghanistan - der Beschwerdeführer und dessen Familie nicht eine Mediation zur Beilegung des Konfliktes angestrebt haben sollen. Seine Ausführungen zur Razzia durch S.'s Familie seien vage und stereotyp. Schliesslich sei es realitätsfremd, dass er innert weniger Stunden in der Lage gewesen sein soll, die Reise zu organisieren und zu vollziehen. Seine Vorbringen hielten damit den Anforderungen von Art. 7 AsylG nicht stand, so dass ihre Asylrelevanz nicht geprüft werden müsse. Demzufolge erfülle er die Flüchtlingseigenschaft nicht. Demgegenüber wurde in der Beschwerde vorgebracht, der Beschwerdeführer habe nun aufgrund von Rücksprachen bei seinen Eltern und Nachforschungen die Daten seiner Ereignisse und die Namen der Eltern und Brüder seiner Geliebten in Erfahrung bringen können: Die Vorfälle hätten sich im Monat Djawza (europäische Zeitrechnung: zwischen dem 22. Mai und 21. Juni) ereignet, und der Heiratsantrag habe im Monat Saur (europäische Zeitrechnung: zwischen dem 21. April und 21. Mai) stattgefunden. S. habe ohne Erlaubnis der Eltern das Elternhaus verlassen und ihn aufgesucht. Sie hätten nie daran gedacht, dass ihnen solche Probleme erwachsen könnten. Religionsunterschiede spielten in Afghanistan eine wichtige Rolle. Seine Familie sei eine schiitische, diejenige von S. eine sunnitische. Deshalb seien die Familienältesten gegen ihre Verbindung gewesen. In Afghanistan hätten Sunniten viel Macht. Die Familie von S. sei wegen ihrer Glaubenszugehörigkeit in der Stadt C._______ (ein Ort in Afghanistan) sehr einflussreich und könnte problemlos gegen seine Angehörigen vorgehen, sie angreifen, beschimpfen und schlagen. Da der Schlepper bereits einen Cousin nach Europa geschleust habe, habe sein Vater ihn gekannt und am selben Abend kontaktiert, weshalb er auf diese Art und Weise - der Schlepper habe gerade ein paar Leute nach Europa schleusen wollen - seine sofortige Ausreise erreicht habe. Im Übrigen habe er erfahren, dass der Vater von S. seine Tochter habe ärztlich untersuchen lassen. Der Arzt habe einen Geschlechtsverkehr bestätigt. Daraufhin habe der Vater von S. seinen Eltern mitgeteilt, dass er (Beschwerdeführer) für diese Tat verantwortlich sei und zur Rechenschaft gezogen werde. Weil der aussereheliche und voreheliche Geschlechtsverkehr im Islam, für diese Handlungen stünde der Begriff "Zina", verboten seien, drohe ihm bei einer Rückkehr die Todesstrafe. Auch seine Familie sei in Gefahr. Sie werde durch die Familie von S. angegriffen, belästigt und geschlagen. Bezüglich der Inhalte der Vernehmlassung und Replik ist auf den vorstehenden Sachverhalt zu verweisen (s. Rubriken G.b und G.c).</w:t>
      </w:r>
    </w:p>
    <w:p>
      <w:r>
        <w:rPr>
          <w:b/>
        </w:rPr>
        <w:t>E. 2.4</w:t>
      </w:r>
    </w:p>
    <w:p>
      <w:r>
        <w:t>Im Sinne einer Gesamtwürdigung ist nachfolgend zu ermitteln, ob die für die Richtigkeit des Sachvortrags sprechenden Gründe überwiegen oder nicht, wobei auf eine objektivierte Sichtweise abzustellen ist.</w:t>
      </w:r>
    </w:p>
    <w:p>
      <w:r>
        <w:rPr>
          <w:b/>
        </w:rPr>
        <w:t>E. 2.4.1</w:t>
      </w:r>
    </w:p>
    <w:p>
      <w:r>
        <w:t>Aufgrund der am 19. März 2011 bei der Flughafenpolizei per Flugpost aus Afghanistan eingegangenen "Taskira" (Geburts-/Identitätsnach­weis) des Beschwerdeführers (A21/4, Beweismitteldossier Dok.-Nr. 3, act. 8/2) könnte die Angabe des Beschwerdeführers zur Herkunft (Provinz Herat, Afghanistan) zutreffen, auch wenn aufgrund seiner inkohärenten Aussagen weiterhin Zweifel bestehen: So gab er an, nach einer längeren Phase eines Aufenthalts im Iran (ab 1995 bzw. 2005 bis 2008) mit den Familienangehörigen erneut in die Provinz Herat zurückgekehrt zu sein. Gleichzeitig wird behauptet, er und seine Familie seien nirgendwo in Afghanistan registriert und er habe nie einen Geburtsschein besessen (A7 S. 3 und 7), sei aber im Besitz einer Identitätskarte, eines Führerscheins und eines afghanischen Reisepasses gewesen (A7 S. 7 und 8).</w:t>
      </w:r>
    </w:p>
    <w:p>
      <w:r>
        <w:rPr>
          <w:b/>
        </w:rPr>
        <w:t>E. 2.4.2</w:t>
      </w:r>
    </w:p>
    <w:p>
      <w:r>
        <w:t>Der übrige Sachvortrag des Beschwerdeführers enthält durchwegs diffuse, auffällig vage und oberflächlich geschilderte Ereignisse. Selbst auf spezifisches Nachfragen hin wartet er lediglich mit stereotypen und knappen Antworten auf, denen eine präzise, vertiefende Substanz stets abgeht. Den eklatanten Mangel an Realkennzeichen vermag er nicht mit zusätzlichen Erklärungen - in der ersten Befragung hiess es nur, er habe eine Sunnitin heiraten wollen, weshalb deren Eltern seine Eltern bedroht und geschlagen hätten (A7 S. 9) - wettzumachen. Auch das spätere Nachreichen von angeblichen Daten der Geschehnisse und das repetitive Erwähnen von Vorkommnissen tragen nichts zur Glaubhaftigkeit seiner bisherigen Angaben bei, sondern wecken vielmehr zusätzliche Zweifel. Selbst wenn eine Person nach einer achtmonatigen, anforderungsreichen Reisezeit in ihrem Erinnerungsvermögen reduziert sein und eine gewisse Unschärfe in ihren Angaben haben mag, würde sie bei einem Berichten über eigene Erlebnisse keinen derart schwammigen und dürftigen Sachvortrag, wie ihn der Beschwerdeführer geboten hat, abliefern. Die vom BFM in der angefochtenen Verfügung angeführten überzeugenden Erwägungen werden vom Beschwerdeführer nicht entkräftet. Es kann zur Vermeidung von Wiederholungen deshalb auf sie verwiesen werden. Wenn nun neu in der Beschwerde behauptet wird, es sei sogar zum Geschlechtsverkehr mit der jungen Frau S. gekommen, und das habe der Arzt, der S. auf Initiative deren Vater untersucht habe, festgestellt, weshalb dem Beschwerdeführer wegen Begehung des Verbrechens "Zina" (Geschlechtsverkehr unter Unverheirateten) nun die Todesstrafe drohe, versteigt sich der Beschwerdeführer offensichtlich in absurde Lügengeschichten. Dass die (...)-jährige Tochter eines F._______ unbegleitet als Kundin in den (...Geschäft...) des Beschwerdeführers kommt, dass sie ihn in der Folge immer wieder, auch mehrmals nach dem gescheiterten Antragsbesuch, im Laden besucht und dass sie sogar miteinander im Laden - der Beschwerdeführer hat nie von einem anderen Treffpunkt gesprochen - sexuell verkehrt haben sollen, entspringt definitiv der Fantasie des Beschwerdeführers. Und dass die angeblich gewaltbereiten Angehörigen von S. auch nach dem Heiratsantrag des Beschwerdeführers beziehungsweise dem Besuch seiner Eltern bei denjenigen von S. ihr unbegleitetes Ausgehen weiterhin tolerierten und trotz des Wissens, dass sich die beiden im Laden treffen (A13 S. 5 f.), auf das Naheliegendste, nämlich das Aufsuchen des Tatortes (...) und den direkten Zugriff auf den Beschwerdeführer, verzichteten, ist unvorstellbar. Der Sachvertrag des Beschwerdeführers stellt sich damit als Konstrukt heraus. Eine begründete Furcht des Beschwerdeführers vor Verfolgung durch Dritte oder durch eine Gerichtsinstanz wegen seiner angeblichen Beziehungen zu S. ist objektiv nicht nachvollziehbar. Zusammenfassend folgt, dass es ihm nicht gelungen ist, Gründe nach Art. 3 und 7 AsylG nachzuweisen oder glaubhaft zu machen. Die Vorinstanz hat sein Asylgesuch zu Recht abgelehnt.</w:t>
      </w:r>
    </w:p>
    <w:p>
      <w:r>
        <w:rPr>
          <w:b/>
        </w:rPr>
        <w:t>E. 3.1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3.2</w:t>
      </w:r>
    </w:p>
    <w:p>
      <w:r>
        <w:t>Der Beschwerdeführer verfügt weder über eine ausländerrechtliche Aufenthaltsbewilligung noch über einen Anspruch auf Erteilung einer solchen. Die Wegweisung wurde demnach zu Recht angeordnet (BVGE 2011/24 E. 10.1 m.w.H.).</w:t>
      </w:r>
    </w:p>
    <w:p>
      <w:r>
        <w:rPr>
          <w:b/>
        </w:rPr>
        <w:t>E. 4.1</w:t>
      </w:r>
    </w:p>
    <w:p>
      <w:r>
        <w:t>Ist der Vollzug der Wegweisung unzulässig, unzumutbar oder unmöglich,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machen (vgl. BVGE 2011/24 E. 10.2 m.w.H.).</w:t>
      </w:r>
    </w:p>
    <w:p>
      <w:r>
        <w:rPr>
          <w:b/>
        </w:rPr>
        <w:t>E. 4.2.1</w:t>
      </w:r>
    </w:p>
    <w:p>
      <w:r>
        <w:t>Der Vollzug ist nicht zulässig, wenn völkerrechtliche Verpflichtungen der Schweiz einer Weiterreise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4.2.2</w:t>
      </w:r>
    </w:p>
    <w:p>
      <w:r>
        <w:t>Das BFM wies in der angefochtenen Verfügung zutreffend darauf hin, dass das flüchtlingsrechtliche Non-Refoulement-Gebot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ff. m.w.H.). Auch die allgemeine Menschenrechtssituation im Heimatstaat lässt den Vollzug nicht als unzulässig erscheinen. Nach dem Gesagten ist der Vollzug der Wegweisung sowohl im Sinne der asyl- als auch der völkerrechtlichen Bestimmungen zulässig.</w:t>
      </w:r>
    </w:p>
    <w:p>
      <w:r>
        <w:rPr>
          <w:b/>
        </w:rPr>
        <w:t>E. 4.3.1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In Bezug auf die allgemeine Sicherheitslage in Afghanistan ist auf das Grundsatzurteil BVGE 2011/7 zu verweisen, das weiterhin Gültigkeit hat. Die Sicherheitslage wurde als äusserst prekär bezeichnet und zwar über sämtliche Landesteile hinweg. Demnach besteht - ausser in Kabul und allenfalls anderen Grossstädten - eine derart schlechte Sicherheitslage und derart schwierige humanitäre Bedingungen, dass die Situation als existenzbedrohend im Sinne von Art. 83 Abs. 4 AuG zu qualifizieren ist (vgl. BVGE 2011/7 E. 9.3 ff., namentlich E. 9.7.4.). Hinsichtlich der spezifischen Situation im Grossraum Herat, wo der Beschwerdeführer (...) mit Unterbrüchen gelebt und gearbeitet haben will, ist das Bundesverwaltungsgericht zur Erkenntnis gelangt, dass die dortige Situation mit derjenigen in der Stadt Kabul vergleichbar ist (vgl. BVGE 2011/38 E. 4.3.3.1). Die Zahl der Angriffe in der Stadt Herat selbst ist gering. Seit Juni 2011 sind in der Stadt selbst keine Aktivitäten von bewaffneten Gruppen mehr zu verzeichnen. Die Verantwortung für die Sicherheit wurde am 21. Juli 2011 von der ISAF auf die afghanischen Sicherheitskräfte übertragen. Auch neuere Quellen (vgl. hierzu Urteil des Bundesverwaltungsgerichts D-3307/2011 vom 17. Januar 2013) bestätigen die grundsätzliche Schutzfähigkeit der Behörden in Herat. Sowohl die Schutzwilligkeit wie auch die Schutzfähigkeit der Behörden von Herat ist gegeben. Ein Wegweisungsvollzug ist somit - unter Vorbehalt der im Urteil BVGE 2011/7 aufgeführten individuellen Umstände - grundsätzlich zumutbar.</w:t>
      </w:r>
    </w:p>
    <w:p>
      <w:r>
        <w:rPr>
          <w:b/>
        </w:rPr>
        <w:t>E. 4.3.2</w:t>
      </w:r>
    </w:p>
    <w:p>
      <w:r>
        <w:t>Zur Zumutbarkeit des Wegweisungsvollzugs in den Grossraum Herat hielt das Gericht im Urteil BVGE 2011/38 (E. 4.3.3.1 f.) auch fest, dass zumutbare Umstände grundsätzlich dann gegeben seien, wenn es sich beim Rückkehrer um einen jungen, gesunden Mann handelt. Angesichts der konstanten Verschlechterung der Lage über die vergangenen Jahre hinweg und der auch in Herat schwierigen Situation verstehe es sich aber von selbst, dass die individuelle Situation sorgfältig zu prüfen ist und die Voraussetzungen erfüllt sein müssen. Unabdingbar sei in erster Linie ein soziales Netz, das sich im Hinblick auf die Aufnahme und Wiedereingliederung des Rückkehres als tragfähig erweist. Ohne Unterstützung durch Familie oder Bekannte würden die schwierigen Lebensverhältnisse unweigerlich in eine lebensbedrohende Situation führen. Der Beschwerdeführer ist (...)-jährig offenbar gesund, reise- und arbeitsfähig. Seine im Schreiben vom 15. Dezember 2011 (act. 14) aufgestellte Behauptung eines bevorstehenden Konsultationstermins bei einem psychiatrischen Ambulatorium hat er nicht belegt und auch keine allgemeinärztlichen oder psychiatrischen Atteste eingereicht. Was die professionelle Hilfe bei allfälligen psychischen Beeinträchtigungen, die über Anpassungsschwierigkeiten, Einsamkeitsgefühle und Heimweh hinausgehen, anbelangt, wäre lediglich anzumerken, dass in der Grossstadt Herat geeignete gesundheitliche Einrichtungen mit Fachpersonal zur psychiatrischen und medikamentösen Behandlung eines psychiatrisch Erkrankten vorhanden sind. Die (...) leben nach wie vor in C._______ (ein Ort in Afghanistan). Zudem halten sich (...Verwandte...) im Heimatland auf (A7 S. 6). Da der Beschwerdeführer seit seiner Kindheit im Raum C._______ (ein Ort in Afghanistan) als E._______ (eine Berufsbezeichnung) in seinem eigenen (...Geschäft...) gearbeitet habe, ist davon auszugehen, dass er nebst den eigenen Familienangehörigen über weitere soziale Kontakte und einen ausreichenden ökonomischen Rückhalt verfügen dürfte. Vorliegend ergeben sich aus den Akten keine individuellen Umstände, die es rechtfertigen könnten, die Rückkehr des Beschwerdeführer in die Stadt Herat als unzumutbar zu qualifizieren. Nach dem Gesagten erweist sich der Vollzug der Wegweisung somit praxisgemäss als zumutbar, falls die zuständigen Vollzugsbehörden seine Rückkehr auf dem Luftweg bis nach Herat - eine allfällige Rückkehr auf dem Landweg von Kabul nach Herat gilt als nicht zumutbar (vgl. BVGE 2011/7 E. 9.10.2) - sicherstellen können.</w:t>
      </w:r>
    </w:p>
    <w:p>
      <w:r>
        <w:rPr>
          <w:b/>
        </w:rPr>
        <w:t>E. 4.4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4.5</w:t>
      </w:r>
    </w:p>
    <w:p>
      <w:r>
        <w:t>Zusammenfassend hat das BFM den Wegweisungsvollzug zu Recht als zulässig, zumutbar und möglich erachtet. Nach dem Gesagten fällt eine Anordnung der vorläufigen Aufnahme ausser Betracht (Art. 83 AuG). Der Beschwerdeführer verlangt gemäss den vorgedruckten Anträgen auf dem für die Beschwerdeerhebung verwendeten Formular, die zuständige Behörde sei vorsorglich anzuweisen, die Kontaktaufnahme mit den Behörden des Heimat- oder Herkunftsstaats sowie jegliche Datenweitergabe an dieselben zu unterlassen, eventuell sei er bei bereits erfolgter Datenweitergabe darüber in einer separaten Verfügung zu informieren. Da der Beschwerdeführer die Flüchtlingseigenschaft nicht erfüllt, besteht kein Anlass, den für die Organisation der Ausreise zuständigen Behörden den Kontakt mit afghanischen Behörden zwecks Beschaffung der für den Vollzug notwendigen Reisepapiere und Sicherstellung der Wiedereinreise zu verbieten. Nach Art. 97 Abs. 2 AsylG wäre sogar eine bereits erfolgte Kontaktnahme rechtens gewesen, weshalb das Gesuch abzuweisen ist, soweit darauf überhaupt einzutreten ist.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7</w:t>
      </w:r>
    </w:p>
    <w:p>
      <w:r>
        <w:t>Das Bundesverwaltungsgericht hat das Gesuch um Gewährung der unentgeltlichen Prozessführung gutgeheissen, so dass keine Kosten zu erheben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