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E-1741/2010 vom 2. September 2010</w:t>
      </w:r>
    </w:p>
    <w:p>
      <w:r>
        <w:t>Bundesverwaltungsgericht, 2010-09-02, FR</w:t>
      </w:r>
    </w:p>
    <w:p>
      <w:r>
        <w:rPr>
          <w:b/>
        </w:rPr>
        <w:t xml:space="preserve">Quelle: </w:t>
      </w:r>
      <w:r>
        <w:t>https://mcp.opencaselaw.ch/entscheid/bvger_E-1741_2010</w:t>
      </w:r>
    </w:p>
    <w:p>
      <w:r>
        <w:t>FR: TAF E-1741/2010 du 2 septembre 2010</w:t>
      </w:r>
    </w:p>
    <w:p>
      <w:r>
        <w:t>IT: TAF E-1741/2010 del 2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L'intéressé a qualité pour recourir (art. 48 PA). Présenté dans la forme (art. 52 PA) et le délai (art. 108 al. 1 LAsi) prescrits par la loi, le recours est recevable.</w:t>
      </w:r>
    </w:p>
    <w:p>
      <w:r>
        <w:rPr>
          <w:b/>
        </w:rPr>
        <w:t>E. 2</w:t>
      </w:r>
    </w:p>
    <w:p>
      <w:r>
        <w:t>A._______ n'a pas recouru contre la décision de l'ODM, en tant qu'elle lui a refusé la qualité de réfugié et l'asile et a ordonné son renvoi, de sorte que, sur ces trois points, elle a acquis force de chose décidée. Dès lors, il convient de vérifier si l'exécution du renvoi prononcée par l'ODM est conforme à la loi.</w:t>
      </w:r>
    </w:p>
    <w:p>
      <w:r>
        <w:rPr>
          <w:b/>
        </w:rPr>
        <w:t>E. 3</w:t>
      </w:r>
    </w:p>
    <w:p>
      <w:r>
        <w:t>Dite mesure est ordonnée si elle est licite, raisonnablement exigible et possible (art. 44 al. 2 LAsi). Elle est réglée par l'art. 83 de la loi fédérale sur les étrangers du 16 décembre 2005 (LEtr, RS 142.20), entrée en vigueur le 1er janvier 2008.</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 En l'espèce, le recourant n'a pas remis en cause le prononcé de l'ODM, en tant qu'il porte sur la non-reconnaissance de la qualité de réfugié et sur le rejet de la demande d'asile. En conséquence, il n'y a pas lieu d'examiner plus avant si son rapatriement contrevient au principe de non-refoulement ancré à l'art. 5 al. 1 LAsi (reprenant en droit interne le principe du non-refoulement explicité à l'art. 33 de la Convention du 28 juillet 1951, relative au statut des réfugiés [Conv., RS 0.142.30]). Aussi, reste-t-il encore à déterminer si l'exécution du renvoi de l'intéressé en Irak l'expose à un risque de traitements contraires aux autres engagements internationaux contractés par la Suisse, comme les art. 3 CEDH et 3 Conv. torture susmentionnés. En ce qui concerne plus particulièrement le degré de la preuve de tels mauvais traitements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(Jurisprudence et informations de la Commission suisse de recours en matière d'asile [JICRA] 1996 n° 18 consid. 14b/ee p. 186;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w:t>
      </w:r>
    </w:p>
    <w:p>
      <w:r>
        <w:rPr>
          <w:b/>
        </w:rPr>
        <w:t>E. 4.2</w:t>
      </w:r>
    </w:p>
    <w:p>
      <w:r>
        <w:t>En l'occurrence, le Tribunal estime d'emblée peu plausible que les prétendus mandat d'arrêt et avis d'ouverture d'enquête du 7 janvier 2010, respectivement du 15 novembre 2009, aient pu parvenir en mains du père de l'intéressé, dès lors que de tels documents, purement internes aux autorités judiciaires et policières, ne sauraient être communiqués à des particuliers, et encore moins aux personnes directement concernées par eux (ou leurs proches). En tout état de cause, il sied de rappeler que ces deux pièces ont été produites sous forme de photocopies, technique de reproduction ouvrant la porte à toutes les possibilités de manipulation. Leur contenu accentue par ailleurs les doutes planant sur leur authenticité. A titre d'exemples, l'on relèvera qu'elles ne mentionnent aucune disposition légale irakienne et que le délit d'"évasion de la justice", censé avoir été à l'origine de la délivrance du mandat d'arrêt du 7 janvier 2010, n'existe pas en droit pénal irakien. Ce document-là ne contient du reste aucune indication tant soit peu précise permettant à la police d'identifier le recourant (voir notamment à ce propos la rubrique "descriptions corporelles" qui se limite à évoquer la "silhouette normale" de ce dernier). Enfin, l'art. 51 litt. e du code de procédure pénale irakien prévoit que la compétence d'émettre un avis d'ouverture d'enquête ressortit au Ministère public et non pas à la police, comme indiqué à tort sur le soi-disant avis d'ouverture d'enquête produit en procédure de première instance. Pour ces motifs déjà, le mandat d'arrêt du 7 janvier 2010 et l'avis d'ouverture d'enquête du 15 novembre 2009 n'ont qu'une valeur probante réduite et ne sont donc pas de nature à établir ou rendre hautement probables les recherches policières prétendument menées contre l'intéressé. Au demeurant, son explication, selon laquelle il risquerait un procès inéquitable en Irak (cf. mémoire du 18 mars 2010, p. 1), avancée pour justifier son refus de se présenter à la police et de demander au dépanneur de témoigner en sa faveur, n'est étayée par aucun commencement de preuve. Il en va de même de ses allégations relatives aux relations étroites qui existeraient entre le pouvoir en place et les proches des deux victimes prétendument éliminées par les terroristes (ibid.). Dans le même sens, le recourant n'a apporté aucun élément concret autorisant à croire que les autorités irakiennes kurdes ne pourraient ou ne voudraient le protéger contre ses adversaires allégués (cf. consid. 4.1 supra, in fine). Vu ce qui précède, le Tribunal estime que A._______ n'a pas rendu hautement probable qu'un retour en Irak l'exposerait à un risque personnel et sérieux de traitements contraires aux engagements internationaux contractés par la Suisse. Dès lors, l'exécution de son renvoi dans son pays d'origine s'avère licite (art. 83 al. 3 LEtr).</w:t>
      </w:r>
    </w:p>
    <w:p>
      <w:r>
        <w:rPr>
          <w:b/>
        </w:rPr>
        <w:t>E. 5.1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 cf. également ATAF 2009/52 consid. 10.1 p. 756s. et ATAF 2008/34 consid. 11.1 p. 510s.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5.2</w:t>
      </w:r>
    </w:p>
    <w:p>
      <w:r>
        <w:t>Dans sa jurisprudence (ATAF 2008/5 consid. 7.5 p. 75 ss),le Tribunal a considéré que l'exécution du renvoi d'un ressortissant irakien dans les trois provinces kurdes du nord de l'Irak (Dohouk, Erbil et Suleymaniya) était raisonnablement exigible, à condition que l'intéressé soit originaire de l'une de ces provinces ou qu'il y ait vécu pendant une longue période, et qu'il y dispose d'un réseau social (famille, parenté ou amis) ou de liens avec les partis dominants. En l'espèce, le Tribunal observe que A._______ est d'ethnie kurde et que la ville de B._______, où il a toujours vécu avant son expatriation, se trouve dans la province de C._______. Il n'a par ailleurs invoqué aucun problème de santé particulier et a travaillé comme chauffeur de taxi. A son retour, Il pourra de surcroît compter sur l'appui de ses proches restés sur place (cf. pv d'audition sommaire, p. 3, ch 12) et bénéficier du réseau social constitué avant son départ. Aussi, l'exécution de son renvoi en Irak doit-elle être considérée comme raisonnablement exigible selon l'art. 83 al. 4 LEtr.</w:t>
      </w:r>
    </w:p>
    <w:p>
      <w:r>
        <w:rPr>
          <w:b/>
        </w:rPr>
        <w:t>E. 6</w:t>
      </w:r>
    </w:p>
    <w:p>
      <w:r>
        <w:t>Pareille mesure est pour le surplus possible (art. 44 al. 2 LAsi et art. 83 al. 2 LEtr ; JICRA 1997 n° 27 consid. 4a et b p. 207s., et arrêts cités), dès lors qu'elle ne se heurte pas à des obstacles insurmontables d'ordre technique ou pratique, et qu'il incombe notamment à l'intéressé d'entreprendre toutes les démarches nécessaires pour obtenir les documents lui permettant de retourner dans son pays d'origine (art. 8 al. 4 LAsi).</w:t>
      </w:r>
    </w:p>
    <w:p>
      <w:r>
        <w:rPr>
          <w:b/>
        </w:rPr>
        <w:t>E. 7</w:t>
      </w:r>
    </w:p>
    <w:p>
      <w:r>
        <w:t>En définitive, l'exécution du renvoi doit être déclarée conforme à la loi. Le recours tendant au prononcé de l'admission provisoire est par conséquent rejeté et les points 4 et 5 du dispositif de la décision de l'ODM du 19 février 2010 sont confirmés. Le présent arrêt est rendu sans échange d'écritures (art. 111a al. 1 LAsi).</w:t>
      </w:r>
    </w:p>
    <w:p>
      <w:r>
        <w:rPr>
          <w:b/>
        </w:rPr>
        <w:t>E. 8</w:t>
      </w:r>
    </w:p>
    <w:p>
      <w:r>
        <w:t>Ayant succombé, l'intéressé, doit prendre les frais judiciaires, d'un montant de Fr. 600.-, à sa charge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