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E-1740/2009 vom 11. Februar 2010</w:t>
      </w:r>
    </w:p>
    <w:p>
      <w:r>
        <w:t>Bundesverwaltungsgericht, 2010-02-11, FR</w:t>
      </w:r>
    </w:p>
    <w:p>
      <w:r>
        <w:rPr>
          <w:b/>
        </w:rPr>
        <w:t xml:space="preserve">Quelle: </w:t>
      </w:r>
      <w:r>
        <w:t>https://mcp.opencaselaw.ch/entscheid/bvger_E-1740_2009</w:t>
      </w:r>
    </w:p>
    <w:p>
      <w:r>
        <w:t>FR: TAF E-1740/2009 du 11 février 2010</w:t>
      </w:r>
    </w:p>
    <w:p>
      <w:r>
        <w:t>IT: TAF E-1740/2009 del 11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Le Tribunal constate tout d'abord qu'en Turquie, les appelés qui ne se présentent pas en vue de leur conscription définitive (ou d'une éventuelle exemption) ou ceux qui, une fois recrutés, ne s'annoncent pas pour accomplir leur obligation de servir, alors qu'ils n'ont pas obtenu une dispense pour des motifs de santé, d'études ou autres, sont effectivement passibles d'une sanction militaire. Dans ce contexte, le recourant a rendu vraisemblable qu'il avait été convoqué pour accomplir les premières démarches visant à son incorporation dans l'armée, et s'était soustrait à cette obligation. Toutefois, selon une jurisprudence constante et bien établie, l'accomplissement du service militaire étant un devoir civique, les éventuelles sanctions pour insoumission ou désertion ne constituent en principe pas une persécution déterminante en matière d'asile. Cela peut cependant être le cas, de manière exceptionnelle, si, pour l'un des motifs énoncés à l'art. 3 LAsi, la personne concernée est exposée à une sanction plus sévère que ne le serait une autre placée dans la même situation ou à une peine d'une sévérité disproportionnée ou - indépendamment de la mesure de la peine - lorsque l'enrôlement de cette personne vise à lui causer de sérieux préjudices au sens de la disposition précitée ou à l'impliquer dans des actions prohibées par le droit international (Jurisprudence et informations de la Commission suisse de recours en matière d'asile [JICRA] 2004 n° 2 consid. 6b/aa p. 16s. et réf. cit. ; arrêt D-5567/2006 du 22 janvier 2006 et réf. cit, dont JICRA 2006 n° 3 p. 29ss). En l'espèce, toutefois, le recourant n'a pas pu rendre suffisamment crédible une telle hypothèse. Le simple fait de son origine kurde ne suffit pas à rendre vraisemblable qu'il serait maltraité en accomplissant son service militaire, ni qu'il serait sanctionné plus sévèrement pour s'y être soustrait, faute de facteur de risque objectif et spécifique, principalement l'existence de toute activité politique chez lui ou ses proches. Le rapport de la Croix-Rouge autrichienne (Österreichisches Rotes Kreuz, KurdInnen in der Turkei, juin 2009) produit par l'intéressé spécifie d'ailleurs (p. 39-41) qu'aucune discrimination systématique des Kurdes n'existe dans l'armée turque ; les brimades parfois graves que certains peuvent subir dépendent avant tout des soupçons de sympathies séparatistes qu'on peut leur imputer, et de l'attitude individuelle des officiers. Les décès suspects de recrues, par meurtre ou suicide, de l'ordre de quelques dizaines en plusieurs années, peuvent pour partie s'expliquer de cette manière ; les Kurdes n'en sont cependant pas les seules victimes. Dans ce contexte, il n'est donc pas exclu qu'un Kurde puisse être la cible, lors de l'accomplissement de ses obligations militaires, de l'hostilité d'un supérieur pour des raisons tenant à son origine, mais on ne saurait affirmer de manière générale que tous les Kurdes sont soumis dans le cadre de l'armée à des préjudices au sens de la loi sur l'asile. De même, il est vrai que des jeunes Kurdes, appartenant en particulier aux classes populaires, ont été affectés à des unités de l'armée engagées dans des zones de combats à l'est du pays et que cela a pu leur poser un problème de conscience. Néanmoins, l'affectation au sein de l'armée turque est, en principe, décidée de manière aléatoire, et on ne saurait affirmer que seuls des Kurdes sont affectés à de telles unités, ni que cela répond à une volonté des autorités, basée sur des critères politiques ou ethniques au sens de l'art. 3 LAsi. Le combat contre le Parti des travailleurs du Kurdistan (PKK) tend d'ailleurs de plus en plus à être confié à des soldats de métier, spécialement entraînés dans ce but. En conclusion, l'intéressé n'a donc pas rendu vraisemblable que sa situation de conscrit, ou les sanctions susceptibles de le frapper comme réfractaire, seraient aggravées du fait de son origine ethnique.</w:t>
      </w:r>
    </w:p>
    <w:p>
      <w:r>
        <w:rPr>
          <w:b/>
        </w:rPr>
        <w:t>E. 3.3</w:t>
      </w:r>
    </w:p>
    <w:p>
      <w:r>
        <w:t>Par ailleurs, le recourant n'a pas fait apparaître la crédibilité d'un risque de vengeance privée, contre lequel les autorités ne pourraient le protéger. En effet, en bonne logique, c'est le père de l'intéressé, directement responsable du meurtre du "hodja" et libéré de prison, qui devrait être exposé à un risque de représailles, et non ses proches. De plus, il ressort du récit de l'intéressé qu'au moment de son départ, six ans après ce meurtre, aucun acte de vengeance n'avait été tenté contre un membre de la famille A._______, ce qui tend à établir que les risques invoqués par le recourant sont purement hypothétiques. Dans la mesure où ils viendraient à se concrétiser, rien ne permet d'ailleurs de retenir qu'il ne pourrait en être garanti par l'autorité de police. Enfin, il y a lieu de noter que l'argument tiré par le recourant de sa récente majorité, qui concrétiserait soudain le danger encouru, n'est pas convaincant.</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Dans le cas d'espèce, l'épouse du recourant a été admise provisoirement en Suisse. Or la jurisprudence, en application du principe de l'unité de la famille ancré dans la loi (art. 44 al. 1 in fine LAsi ; cf. cons. 4.1. ci-dessus) a admis que l'admission provisoire accordée à un requérant devait en principe s'étendre aux membres de sa proche famille, à savoir le conjoint et les enfants mineurs (JICRA 1995 n° 24 cons. 10-11 p. 230-233). Les développements auxquels se livre l'ODM dans sa réponse, en rapport avec l'art. 8 de la convention du 4 novembre 1950 de sauvegarde des droits de l'homme et des libertés fondamentales (CEDH, RS 0.101), ne sont pas pertinents : en effet, l'intéressé n'a jamais requis la délivrance d'une autorisation de séjour. Par ailleurs, le fait que l'autorité de première instance envisage de lever l'admission provisoire de D._______ ne peut avoir d'incidence, tant qu'une telle décision n'est pas intervenue.</w:t>
      </w:r>
    </w:p>
    <w:p>
      <w:r>
        <w:rPr>
          <w:b/>
        </w:rPr>
        <w:t>E. 5.3</w:t>
      </w:r>
    </w:p>
    <w:p>
      <w:r>
        <w:t>En l'espèce, l'admission provisoire de D._______ a été prononcée le 19 juin 2007. Il y a donc lieu de d'accorder ce statut au recourant, qui forme avec elle en Suisse un communauté conjugale effective, aucun élément ne permettant en l'espèce de s'écarter de la règle générale.</w:t>
      </w:r>
    </w:p>
    <w:p>
      <w:r>
        <w:rPr>
          <w:b/>
        </w:rPr>
        <w:t>E. 6.1</w:t>
      </w:r>
    </w:p>
    <w:p>
      <w:r>
        <w:t>En conséquence, le recours doit être admis, en tant qu'il conclut au prononcé de l'admission provisoire, et la décision attaquée annulée sur ce point. L'autorité de première instance est donc invitée à prononcer l'admission provisoire de l'intéressé.</w:t>
      </w:r>
    </w:p>
    <w:p>
      <w:r>
        <w:rPr>
          <w:b/>
        </w:rPr>
        <w:t>E. 7.1</w:t>
      </w:r>
    </w:p>
    <w:p>
      <w:r>
        <w:t>Le Tribunal fait droit à la requête du recourant et admet la demande d'assistance judiciaire partielle, compte tenu de ce qu'il ne dispose pas des ressources lui permettant d'assumer les frais de la procédure et de ce que les conclusions du recours, au moment de leur dépôt, n'étaient pas manifestement vouées à l'échec (art. 65 al. 1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 l'indemnité, sur la base de la note de frais du 3 février 2010 (art. 14 al. 2 du règlement du 21 février 2008 concernant les frais, dépens et indemnités fixés par le Tribunal administratif fédéral [FITAF, RS 173.320.2]). Dite note fait état de 5 heures de travail à raison de Fr. 200.- par heure, soit au total Fr. 1000.-. L'admission du recours étant partielle, les dépens sont fixés à la moitié de cette somme, soit Fr. 500.-, plus la TVA par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