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E-1733/2009 vom 6. Mai 2009</w:t>
      </w:r>
    </w:p>
    <w:p>
      <w:r>
        <w:t>Bundesverwaltungsgericht, 2009-05-06, FR</w:t>
      </w:r>
    </w:p>
    <w:p>
      <w:r>
        <w:rPr>
          <w:b/>
        </w:rPr>
        <w:t xml:space="preserve">Quelle: </w:t>
      </w:r>
      <w:r>
        <w:t>https://mcp.opencaselaw.ch/entscheid/bvger_E-1733_2009</w:t>
      </w:r>
    </w:p>
    <w:p>
      <w:r>
        <w:t>FR: TAF E-1733/2009 du 6 mai 2009</w:t>
      </w:r>
    </w:p>
    <w:p>
      <w:r>
        <w:t>IT: TAF E-1733/2009 del 6 maggio 2009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demande de restitution de délai est rejetée.</w:t>
      </w:r>
    </w:p>
    <w:p>
      <w:r>
        <w:rPr>
          <w:b/>
        </w:rPr>
        <w:t>E. 2</w:t>
      </w:r>
    </w:p>
    <w:p>
      <w:r>
        <w:t>Le recours est irrecevable.</w:t>
      </w:r>
    </w:p>
    <w:p>
      <w:r>
        <w:rPr>
          <w:b/>
        </w:rPr>
        <w:t>E. 3</w:t>
      </w:r>
    </w:p>
    <w:p>
      <w:r>
        <w:t>Les frais de procédure, s'élevant à Fr. 300.-,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mandataire du recourant, à l'ODM et au canton de (...). La présidente du collège : La greffière : Expédition : Destinataires : mandataire du recourant (par courrier recommandé; annexe : un bulletin de versement) ODM, Division séjour, avec le dossier N (...) (par courrier interne; en copie) (...) (en copie).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