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E-1730/2023 vom 6. April 2023</w:t>
      </w:r>
    </w:p>
    <w:p>
      <w:r>
        <w:t>Bundesverwaltungsgericht, 2023-04-06, DE</w:t>
      </w:r>
    </w:p>
    <w:p>
      <w:r>
        <w:rPr>
          <w:b/>
        </w:rPr>
        <w:t xml:space="preserve">Quelle: </w:t>
      </w:r>
      <w:r>
        <w:t>https://mcp.opencaselaw.ch/entscheid/bvger_E-1730_2023</w:t>
      </w:r>
    </w:p>
    <w:p>
      <w:r>
        <w:t>FR: TAF E-1730/2023 du 6 avril 2023</w:t>
      </w:r>
    </w:p>
    <w:p>
      <w:r>
        <w:t>IT: TAF E-1730/2023 del 6 aprile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E-1730/2023 Seite 6</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Vorab ist festzustellen, dass sich der Sachverhalt entgegen der pauschalen Behauptung des Beschwerdeführers als erstellt erweist. Zudem haben sich die in der Anhörung von der damaligen Rechtsvertretung gerügte Ein- sichtsgewährung und das mündliche gewährte rechtliche Gehör (vgl. Sach- verhalt Bst. G hievor) als rechtsgenüglich erwiesen, womit eine allfällige Verletzung der Begründungspflicht als geheilt zu betrachten ist, zumal der Beschwerdeführer in seiner Rechtsmitteleingabe keine entsprechende Rüge vorbringt. Der Eventualantrag um Rückweisung der Sache (Rechts- begehren 4)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 vgl. auch Urteil des BVGer D-2282/2018 vom 5. April 2019 E. 5.1).</w:t>
      </w:r>
    </w:p>
    <w:p>
      <w:r>
        <w:rPr>
          <w:b/>
        </w:rPr>
        <w:t>E. 6.1</w:t>
      </w:r>
    </w:p>
    <w:p>
      <w:r>
        <w:t>Die Vorinstanz begründete ihre Verfügung damit, die Vorbringen des Beschwerdeführers seien unglaubhaft ausgefallen. Er habe im ersten und</w:t>
      </w:r>
    </w:p>
    <w:p>
      <w:r>
        <w:t>E-1730/2023 Seite 7 zweiten Asylgesuch bezüglich Anzahl und Dauer der erlebten Festnahmen in der Türkei widersprüchliche Angaben gemacht. Ausserdem habe er im Rahmen des zweiten Asylgesuchs angegeben, die Firma seiner Familie habe alle Gülen-(…) im Bezirk bewirtschaftet beziehungsweise die (…) mit (…) beliefert. Im ersten Asylgesuch habe er angegeben, als (…), (…) und als eine Art (…) in einer Gülen-(…) gearbeitet zu haben. Ferner habe er im zweiten Asylgesuch vorgebracht, einmal im Auftrag von zwei Personen der Gülen-(…) eine Tasche nach Gaziantep gebracht zu haben, währenddem er im ersten Asylgesuch angegeben habe, solche Taschen nach Adiyaman und Gaziantep transportiert zu haben. Im Weiteren habe er zu seiner Aus- reise (betreffend Zeitpunkt) widersprüchliche und unplausible Angaben ge- macht, so dass die angebliche Verfolgung durch die türkischen Behörden im Jahre 2016 und 2017 unglaubhaft seien. Schliesslich kam die Vo- rinstanz zum Schluss, dass es sich bei den vom Beschwerdeführer in Ko- pie eingereichten Beweismitteln aufgrund offensichtlicher Fälschungs- merkmale um Totalfälschungen handle. Hinzu komme, dass in den Doku- menten von Propaganda zugunsten der PKK die Rede sei, er in den zwei Asylgesuchen jedoch angegeben habe, von den türkischen Behörden im Zusammenhang mit der Gülen-Bewegung verfolgt zu werden. Der Be- schwerdeführer habe auf die ihm im Rahmen des gewährten rechtlichen Gehörs (betreffend die Fälschungsvorwürfe) gestellten Fragen keine Ant- wort geben können.</w:t>
      </w:r>
    </w:p>
    <w:p>
      <w:r>
        <w:rPr>
          <w:b/>
        </w:rPr>
        <w:t>E. 6.2</w:t>
      </w:r>
    </w:p>
    <w:p>
      <w:r>
        <w:t>Nach Auffassung des Gerichts erweist sich die Einschätzung der Vorinstanz als zutreffend. Die Ausführungen in der Beschwerdeeingabe vermögen zu keinem anderen Schluss zu führen. Der Beschwerdeführer vermag mit dem Einwand, wonach die von der Vorinstanz aufgeführten Wi- dersprüche auf blossen Missverständnissen beruhen würden, den Ausfüh- rungen der Vorinstanz nichts Stichhaltiges entgegenzusetzen. Nebst den festgestellten Widersprüchen und anderen unglaubhaften Aussagen ent- stehen aber auch gewichtige Zweifel an seinen Vorbringen aufgrund der im vorinstanzlichen Verfahren eingereichten Dokumente. Diese wurden von der Vorinstanz aufgrund überzeugender Argumente als Totalfälschungen anerkannt. Der Beschwerdeführer hat weder in der Anhörung noch auf Be- schwerdeebene stichhaltige Argumente aufgeführt, die für die Authentizität der Dokumente sprechen würden.</w:t>
      </w:r>
    </w:p>
    <w:p>
      <w:r>
        <w:rPr>
          <w:b/>
        </w:rPr>
        <w:t>E. 6.3</w:t>
      </w:r>
    </w:p>
    <w:p>
      <w:r>
        <w:t>Zusammenfassend ergibt sich, dass der Beschwerdeführer nicht glaubhaft gemacht hat, er habe im Heimatland eine asylrelevante Verfol- gung erlebt oder müsse eine solche in begründeter Weise befürchten. Die</w:t>
      </w:r>
    </w:p>
    <w:p>
      <w:r>
        <w:t>E-1730/2023 Seite 8 Vorinstanz hat sein Asylgesuch zu Recht abgelehnt und die Flüchtlingsei- genschaft des Beschwerdeführers verneint.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E-1730/2023 Seite 9</w:t>
      </w:r>
    </w:p>
    <w:p>
      <w:r>
        <w:rPr>
          <w:b/>
        </w:rPr>
        <w:t>E. 8.3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auszuge- hen (vgl. statt vieler Urteil E-87/2023 vom 29. März 2023 E.8.3.1 m.w.H.).</w:t>
      </w:r>
    </w:p>
    <w:p>
      <w:r>
        <w:t>E-1730/2023 Seite 10</w:t>
      </w:r>
    </w:p>
    <w:p>
      <w:r>
        <w:rPr>
          <w:b/>
        </w:rPr>
        <w:t>E. 8.4.2</w:t>
      </w:r>
    </w:p>
    <w:p>
      <w:r>
        <w:t>Aus den Akten ergeben sich auch keine Hinweise darauf, dass der Beschwerdeführer im Falle seiner Rückkehr in die Türkei aus individuellen Gründen in eine existenzbedrohende Situation geraten könnte. In der Be- schwerdeschrift wird auf die Auswirkungen des Erdbebens von Februar 2023 auf die Situation der Familie des Beschwerdeführers hingewiesen, welche nun in Zelten lebe. Die Vorinstanz hat sich in der angefochtenen Verfügung ausführlich dazu geäussert und dabei ausgeführt, der Be- schwerdeführer stamme zwar aus der vom schweren Erdbeben besonders betroffenen Provinz Adiyaman. Wie von ihr zutreffend festgestellt worden ist, kann jedoch davon ausgegangen werden, dass sich der Beschwerde- führer aufgrund seines in der Vergangenheit mehrmonatigen Aufenthalts in Ankara und Istanbul auch im Westen des Landes aufhalten kann. Ausser- dem kann er bei Bedarf auf die Unterstützung seines Bruders in der Schweiz, der ein (…) besitzt, zurückgreifen (vgl. SEM-Akte 1109789-17 F10 ff., F48). Die Auswirkungen des Erdbebens stehen daher einem Weg- weisungsvollzugs nicht entgegen.</w:t>
      </w:r>
    </w:p>
    <w:p>
      <w:r>
        <w:rPr>
          <w:b/>
        </w:rPr>
        <w:t>E. 8.4.3</w:t>
      </w:r>
    </w:p>
    <w:p>
      <w:r>
        <w:t>Nach dem Gesagten erweist sich der Vollzug der Wegweisung auch als zumutbar.</w:t>
      </w:r>
    </w:p>
    <w:p>
      <w:r>
        <w:rPr>
          <w:b/>
        </w:rPr>
        <w:t>E. 8.5</w:t>
      </w:r>
    </w:p>
    <w:p>
      <w:r>
        <w:t>Schliesslich obliegt es dem Beschwerdeführer, der über einen am 1. November 2022 abgelaufenen Reisepass verfügt,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weshalb sich der Antrag auf Verzicht auf Erhebung eines Kos- tenvorschusses als gegenstandslos erweist.</w:t>
      </w:r>
    </w:p>
    <w:p>
      <w:r>
        <w:t>E-1730/2023 Seite 11</w:t>
      </w:r>
    </w:p>
    <w:p>
      <w:r>
        <w:rPr>
          <w:b/>
        </w:rPr>
        <w:t>E. 10.2</w:t>
      </w:r>
    </w:p>
    <w:p>
      <w:r>
        <w:t>Wie sich aus den Ausführungen ergibt, sind die Beschwerdebegehren im Zeitpunkt der Gesuchseinreichung als aussichtslos zu bezeichnen. Das Gesuch um Gewährung der unentgeltlichen Prozessführung (Art. 65 Abs. 1 VwVG) ist entsprechend ungeachtet der Frage der prozessualen Bedürf- tigkeit abzuweisen. Angesichts des Verfahrensausgangs sind die Kosten dem Beschwerdeführer aufzuerlegen (Art. 63 Abs. 1 VwVG) und auf insge- samt Fr. 750.– festzusetzen (Art. 1–3 des Reglements vom 21. Februar 2008 über die Kosten und Entschädigungen vor dem Bundesverwaltungs- gericht [VGKE, SR 173.320.2]).</w:t>
      </w:r>
    </w:p>
    <w:p>
      <w:r>
        <w:rPr>
          <w:b/>
        </w:rPr>
        <w:t>E. 10.3</w:t>
      </w:r>
    </w:p>
    <w:p>
      <w:r>
        <w:t>Angesichts der Aussichtslosigkeit der Beschwerde sind die Voraus- setzungen zur Bestellung eines amtlichen Rechtsbeistandes ebenfalls nicht gegeben und das diesbezügliche Gesuch ist entsprechend abzuwei- sen (Art. 65 Abs. 2 VwVG). (Dispositiv nächste Seite)</w:t>
      </w:r>
    </w:p>
    <w:p>
      <w:r>
        <w:t>E-1730/2023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