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E-172/2014 vom 20. Januar 2014</w:t>
      </w:r>
    </w:p>
    <w:p>
      <w:r>
        <w:t>Bundesverwaltungsgericht, 2014-01-20, DE</w:t>
      </w:r>
    </w:p>
    <w:p>
      <w:r>
        <w:rPr>
          <w:b/>
        </w:rPr>
        <w:t xml:space="preserve">Quelle: </w:t>
      </w:r>
      <w:r>
        <w:t>https://mcp.opencaselaw.ch/entscheid/bvger_E-172_2014</w:t>
      </w:r>
    </w:p>
    <w:p>
      <w:r>
        <w:t>FR: TAF E-172/2014 du 20 janvier 2014</w:t>
      </w:r>
    </w:p>
    <w:p>
      <w:r>
        <w:t>IT: TAF E-172/2014 del 20 gennaio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Aus den vorinstanzlichen Akten ist nicht ersichtlich, wann die angefochtene Verfügung eröffnet worden ist. Bei dieser Sachlage ist zu Gunsten des Beschwerdeführers davon auszugehen, die Beschwerdeeingabe sei rechtzeitig erfolgt (vgl. ANDRÉ MOSER/MICHAEL BEUSCH/LORENZ KNEUBÜHLER, Prozessieren vor dem Bundesverwaltungsgericht, Handbücher für die Anwaltspraxis, Band X, Basel 2008, Rz. 3.150, S. 166 f.). Da es sich um eine sogenannte Laienbeschwerde handelt, an die keine hohen formellen Anforderungen zu stellen sind, ist auf die insoweit frist- und formgerecht eingereichte Beschwerde einzutreten (Art. 108 Abs. 2 AsylG, Art. 52 VwVG).</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 Die Fragen der Anerkennung der Flüchtlingseigenschaft und der Gewährung von Asyl bilden demgegenüber nicht Gegenstand des angefochtenen Nichteintretensentscheides.</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vorliegend auf einen Schriftenwechsel verzichtet.</w:t>
      </w:r>
    </w:p>
    <w:p>
      <w:r>
        <w:rPr>
          <w:b/>
        </w:rPr>
        <w:t>E. 4.1</w:t>
      </w:r>
    </w:p>
    <w:p>
      <w:r>
        <w:t>Nach 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 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Der Beschwerdeführer suchte am 8. November 2013 in der Schweiz um Asyl nach. Das Ersuchen des Bundesamtes an die italienischen Behörden um Rückübernahme des Beschwerdeführers erfolgte am 27. Novem­ber 2013. Vorliegend bleibt daher die Dublin-II-VO anwendbar und der für die Prüfung seines Asylgesuches zuständige Staat ist nach den dortigen Kriterien zu ermitteln (vgl. Art. 49 Dublin-III-VO).</w:t>
      </w:r>
    </w:p>
    <w:p>
      <w:r>
        <w:rPr>
          <w:b/>
        </w:rPr>
        <w:t>E. 5.1</w:t>
      </w:r>
    </w:p>
    <w:p>
      <w:r>
        <w:t>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5.2</w:t>
      </w:r>
    </w:p>
    <w:p>
      <w:r>
        <w:t>Das BFM erwog in der angefochtenen Verfügung, der Abgleich der Fingerabdrücke mit der Zentraleinheit EURODAC weise nach, dass der Beschwerdeführer (...) in Italien ein Asylgesuch eingereicht habe. Die italienischen Behörden hätten innerhalb der festgelegten Frist zum Übernahmeersuchen des BFM keine Stellung genommen. Somit sei gemäss DAA und unter Anwendung von Art. 20 Abs. 1 Dublin-II-VO die Zuständigkeit zur Durchführung des Asyl- und Wegweisungsverfahrens am 12. Dezember 2013 an Italien übergegangen. Es würden keine konkreten Anhaltspunkte dafür vorliegen, dass sich Italien nicht an seine völkerrechtlichen Verpflichtungen halten und das Asyl- und Wegweisungsverfahren nicht korrekt durchführen würde.</w:t>
      </w:r>
    </w:p>
    <w:p>
      <w:r>
        <w:rPr>
          <w:b/>
        </w:rPr>
        <w:t>E. 5.3</w:t>
      </w:r>
    </w:p>
    <w:p>
      <w:r>
        <w:t>In der Rechtsmitteleingabe macht der Beschwerdeführer geltend, es treffe zwar zu, dass er in Italien daktyloskopiert worden sei, aber er habe dort kein Asylgesuch gestellt. Er sei (...) wegen des Krieges aus Libyen geflüchtet. In sein Heimatland Togo könne er nicht zurückkehren, weil er dort keine Familie habe. Er bitte darum, in der Schweiz bleiben zu dürfen, bis der Konflikt in Libyen zu Ende sei und er dorthin zurückkehren könne.</w:t>
      </w:r>
    </w:p>
    <w:p>
      <w:r>
        <w:rPr>
          <w:b/>
        </w:rPr>
        <w:t>E. 6.1</w:t>
      </w:r>
    </w:p>
    <w:p>
      <w:r>
        <w:t>Ein Abgleich der Fingerabdrücke des Beschwerdeführers mit der EURODAC-Datenbank ergab, dass dieser (...) in Italien ein Asylgesuch eingereicht hatte. Anlässlich der BzP bestritt er nicht, in Italien um Asyl nachgesucht zu haben, und führte aus, er habe dies getan, weil man ihm gesagt habe, dies sei die einzige Möglichkeit, um in Italien zu bleiben. Er habe ein erstes Interview gehabt, aber keinen Entscheid erhalten; während zwei Jahren sei er in Italien herumgezogen, um Arbeit zu suchen (vgl. Akten BFM A6/11 S. 5). Die Behauptung in der Beschwerde, er habe in Italien kein Asylgesuch gestellt, kann vor diesem Hintergrund nicht geglaubt werden. Nachdem die italienischen Behörden das Übernahmeersuchen innert der in Art. 20 Abs. 1 Bst. b Dublin-II-VO vorgesehenen Frist unbeantwortet liessen, womit sie die Zuständigkeit Italiens implizit anerkannten (Art. 20 Abs. 1 Bst. c Dublin-II-VO), ist die grundsätzliche Zuständigkeit Italiens für die Durchführung des vorliegenden Asyl- und Wegweisungsverfahrens gegeben.</w:t>
      </w:r>
    </w:p>
    <w:p>
      <w:r>
        <w:rPr>
          <w:b/>
        </w:rPr>
        <w:t>E. 6.2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Italien ist Signatarstaat der EMRK, der FK und der FoK, und es bestehen keine konkreten Hinweise dafür, dass sich Italien im vorliegenden Fall nicht an die daraus resultierenden Verpflichtungen halten würde. Das Bundesverwaltungsgericht geht in konstanter Rechtsprechung davon aus, dass die Vermutung, alle Mitgliedstaaten beziehungsweise staatsvertraglich assoziierten Staaten würden die Rechte der Konvention vom 4. No-vember 1950 zum Schutze der Menschenrechte und Grundfreiheiten (EMRK, SR 0.101) garantieren und die Zuständigkeitsordnung selbst ein EMRK-konformes Ergebnis liefern, im Falle Italiens trotz teilweise schwieriger Umstände für Asylsuchende und Unzulänglichkeiten Geltung hat. Vorliegend bestehen zudem keine stichhaltigen Gründe für die Annahme, der Beschwerdeführer wäre im Falle einer Überstellung konkret einer reellen und ernsthaften Gefahr einer grundrechtswidrigen Behandlung ausgesetzt. Nach dem Gesagten besteht für die schweizerischen Asylbehörden insgesamt keine Veranlassung, in Abweichung von der festgestellten Zuständigkeitsordnung vom Selbsteintritt gemäss Art. 3 Abs. 2 Dublin-II-VO i.V.m. Art. 29a Abs. 3 der Asylverordnung 1 über Verfahrensfragen vom 11. August 1999 (AsylV 1; SR 142.311) Gebrauch zu machen.</w:t>
      </w:r>
    </w:p>
    <w:p>
      <w:r>
        <w:rPr>
          <w:b/>
        </w:rPr>
        <w:t>E. 6.3</w:t>
      </w:r>
    </w:p>
    <w:p>
      <w:r>
        <w:t>Italien ist somit für die Prüfung des Asylgesuchs des Beschwerde-führers gemäss der Dublin-II-VO zuständig und entsprechend verpflichtet, ihn gemäss Art. 20 Dublin-II-VO wieder aufzunehmen. Das BFM ist in Anwendung von Art. 34 Abs. 2 Bst. d AsylG zu Recht auf das Asylgesuch des Beschwerdeführers nicht eingetreten und hat, da dieser nicht im Besitz einer gültigen Aufenthalts- oder Niederlassungsbewilligung ist, ebenfalls zu Recht in Anwendung von Art. 44 Abs. 1 AsylG die Überstellung nach Italien angeordnet (Art. 32 Bst. a AsylV 1). 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34 Abs. 2 Bst. d AsylG ist (vgl. BVGE 2010/45 E. 10 S. 645).</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